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F039" w14:textId="67FCE720" w:rsidR="00B345C8" w:rsidRPr="00B345C8" w:rsidRDefault="00B345C8" w:rsidP="00B345C8">
      <w:pPr>
        <w:pStyle w:val="Heading1"/>
        <w:tabs>
          <w:tab w:val="center" w:pos="4748"/>
        </w:tabs>
        <w:rPr>
          <w:color w:val="215868" w:themeColor="accent5" w:themeShade="80"/>
          <w:sz w:val="44"/>
        </w:rPr>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60288" behindDoc="0" locked="0" layoutInCell="1" allowOverlap="1" wp14:anchorId="28BB1918" wp14:editId="78312899">
            <wp:simplePos x="0" y="0"/>
            <wp:positionH relativeFrom="column">
              <wp:posOffset>5364480</wp:posOffset>
            </wp:positionH>
            <wp:positionV relativeFrom="paragraph">
              <wp:posOffset>-259715</wp:posOffset>
            </wp:positionV>
            <wp:extent cx="720341" cy="70866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341" cy="7086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8E4103E" wp14:editId="2671D626">
            <wp:simplePos x="0" y="0"/>
            <wp:positionH relativeFrom="column">
              <wp:posOffset>-3810</wp:posOffset>
            </wp:positionH>
            <wp:positionV relativeFrom="paragraph">
              <wp:posOffset>-308610</wp:posOffset>
            </wp:positionV>
            <wp:extent cx="720341" cy="7086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341" cy="708660"/>
                    </a:xfrm>
                    <a:prstGeom prst="rect">
                      <a:avLst/>
                    </a:prstGeom>
                  </pic:spPr>
                </pic:pic>
              </a:graphicData>
            </a:graphic>
            <wp14:sizeRelH relativeFrom="page">
              <wp14:pctWidth>0</wp14:pctWidth>
            </wp14:sizeRelH>
            <wp14:sizeRelV relativeFrom="page">
              <wp14:pctHeight>0</wp14:pctHeight>
            </wp14:sizeRelV>
          </wp:anchor>
        </w:drawing>
      </w:r>
      <w:r>
        <w:rPr>
          <w:color w:val="215868" w:themeColor="accent5" w:themeShade="80"/>
          <w:sz w:val="44"/>
        </w:rPr>
        <w:tab/>
      </w:r>
      <w:r w:rsidRPr="00B345C8">
        <w:rPr>
          <w:color w:val="215868" w:themeColor="accent5" w:themeShade="80"/>
          <w:sz w:val="44"/>
        </w:rPr>
        <w:t>Northcote Primary School</w:t>
      </w:r>
    </w:p>
    <w:p w14:paraId="038B7B91" w14:textId="1EA3B8AF" w:rsidR="00B345C8" w:rsidRDefault="00B345C8" w:rsidP="00B345C8">
      <w:pPr>
        <w:jc w:val="center"/>
        <w:rPr>
          <w:b/>
          <w:color w:val="215868" w:themeColor="accent5" w:themeShade="80"/>
          <w:sz w:val="32"/>
        </w:rPr>
      </w:pPr>
      <w:r w:rsidRPr="00B345C8">
        <w:rPr>
          <w:b/>
          <w:color w:val="215868" w:themeColor="accent5" w:themeShade="80"/>
          <w:sz w:val="32"/>
        </w:rPr>
        <w:t xml:space="preserve">Pupil Premium Strategy Statement </w:t>
      </w:r>
    </w:p>
    <w:p w14:paraId="760C06A6" w14:textId="5DB12A98" w:rsidR="00182B6B" w:rsidRPr="00B345C8" w:rsidRDefault="00182B6B" w:rsidP="00B345C8">
      <w:pPr>
        <w:jc w:val="center"/>
        <w:rPr>
          <w:b/>
          <w:color w:val="215868" w:themeColor="accent5" w:themeShade="80"/>
          <w:sz w:val="32"/>
        </w:rPr>
      </w:pPr>
      <w:r>
        <w:rPr>
          <w:b/>
          <w:color w:val="215868" w:themeColor="accent5" w:themeShade="80"/>
          <w:sz w:val="32"/>
        </w:rPr>
        <w:t>2023-2026</w:t>
      </w:r>
    </w:p>
    <w:p w14:paraId="15953B2B" w14:textId="77777777" w:rsidR="00B345C8" w:rsidRDefault="00B345C8" w:rsidP="00C62989">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47A4BA8B" w:rsidR="00E66558" w:rsidRDefault="009D71E8" w:rsidP="00335309">
      <w:pPr>
        <w:spacing w:after="0"/>
        <w:rPr>
          <w:b/>
        </w:rPr>
      </w:pPr>
      <w:r>
        <w:t xml:space="preserve">This statement details our school’s use of pupil premium (and recovery premium) funding to help improve the attainment of our disadvantaged pupils. </w:t>
      </w:r>
    </w:p>
    <w:p w14:paraId="2A7D54B3" w14:textId="730F2E71" w:rsidR="00E66558" w:rsidRDefault="009D71E8" w:rsidP="00335309">
      <w:pPr>
        <w:spacing w:after="0"/>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6DCB7C" w14:textId="28DAF4AA" w:rsidR="002940F3" w:rsidRDefault="007C4AC7">
            <w:pPr>
              <w:pStyle w:val="TableRow"/>
            </w:pPr>
            <w:r>
              <w:t xml:space="preserve">2023-2024: </w:t>
            </w:r>
            <w:r w:rsidR="000D7063">
              <w:t>4</w:t>
            </w:r>
            <w:r w:rsidR="00E32BCC">
              <w:t>27</w:t>
            </w:r>
          </w:p>
          <w:p w14:paraId="22CFD6DF" w14:textId="6FC3738A" w:rsidR="00182B6B" w:rsidRDefault="00182B6B">
            <w:pPr>
              <w:pStyle w:val="TableRow"/>
            </w:pPr>
            <w:r>
              <w:t>2024-2025:</w:t>
            </w:r>
            <w:r w:rsidR="00E90827">
              <w:t xml:space="preserve">442 </w:t>
            </w:r>
          </w:p>
          <w:p w14:paraId="2A7D54B9" w14:textId="009FBB19" w:rsidR="007C4AC7" w:rsidRDefault="007C4AC7">
            <w:pPr>
              <w:pStyle w:val="TableRow"/>
            </w:pP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32E8E4" w14:textId="77777777" w:rsidR="002940F3" w:rsidRDefault="007B3DB9">
            <w:pPr>
              <w:pStyle w:val="TableRow"/>
            </w:pPr>
            <w:r>
              <w:t xml:space="preserve">2023-2024- </w:t>
            </w:r>
            <w:r w:rsidR="000D7063">
              <w:t>50</w:t>
            </w:r>
            <w:r>
              <w:t>%</w:t>
            </w:r>
          </w:p>
          <w:p w14:paraId="207D9CB9" w14:textId="598034AE" w:rsidR="00182B6B" w:rsidRDefault="00182B6B">
            <w:pPr>
              <w:pStyle w:val="TableRow"/>
            </w:pPr>
            <w:r>
              <w:t xml:space="preserve">2024-2025- </w:t>
            </w:r>
            <w:r w:rsidR="00C05245">
              <w:t>47%</w:t>
            </w:r>
          </w:p>
          <w:p w14:paraId="2A7D54BC" w14:textId="0AD968AE" w:rsidR="007C4AC7" w:rsidRDefault="007C4AC7">
            <w:pPr>
              <w:pStyle w:val="TableRow"/>
            </w:pP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w:t>
            </w:r>
            <w:proofErr w:type="gramStart"/>
            <w:r w:rsidRPr="1CBF4D92">
              <w:rPr>
                <w:b/>
              </w:rPr>
              <w:t>3 year</w:t>
            </w:r>
            <w:proofErr w:type="gramEnd"/>
            <w:r w:rsidRPr="1CBF4D92">
              <w:rPr>
                <w:b/>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8D92D7" w14:textId="2484CCA0" w:rsidR="002940F3" w:rsidRDefault="00B345C8" w:rsidP="00B345C8">
            <w:pPr>
              <w:pStyle w:val="TableRow"/>
              <w:jc w:val="center"/>
            </w:pPr>
            <w:r>
              <w:t>2023-24</w:t>
            </w:r>
          </w:p>
          <w:p w14:paraId="0EFFC534" w14:textId="56C80ACD" w:rsidR="00B345C8" w:rsidRPr="007B3DB9" w:rsidRDefault="00B345C8" w:rsidP="00B345C8">
            <w:pPr>
              <w:pStyle w:val="TableRow"/>
              <w:jc w:val="center"/>
              <w:rPr>
                <w:color w:val="0070C0"/>
              </w:rPr>
            </w:pPr>
            <w:r w:rsidRPr="007B3DB9">
              <w:rPr>
                <w:color w:val="0070C0"/>
              </w:rPr>
              <w:t>2024-25</w:t>
            </w:r>
          </w:p>
          <w:p w14:paraId="2A7D54BF" w14:textId="102DAB0C" w:rsidR="00B345C8" w:rsidRDefault="00B345C8" w:rsidP="00B345C8">
            <w:pPr>
              <w:pStyle w:val="TableRow"/>
              <w:jc w:val="center"/>
            </w:pPr>
            <w:r w:rsidRPr="007B3DB9">
              <w:rPr>
                <w:color w:val="E36C0A" w:themeColor="accent6" w:themeShade="BF"/>
              </w:rPr>
              <w:t>2025-2</w:t>
            </w:r>
            <w:r w:rsidR="00CF7D93" w:rsidRPr="007B3DB9">
              <w:rPr>
                <w:color w:val="E36C0A" w:themeColor="accent6" w:themeShade="BF"/>
              </w:rPr>
              <w:t>6</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8E4333A" w:rsidR="002940F3" w:rsidRDefault="00B345C8">
            <w:pPr>
              <w:pStyle w:val="TableRow"/>
            </w:pPr>
            <w:r>
              <w:t>November 2023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897E6" w14:textId="77777777" w:rsidR="002940F3" w:rsidRDefault="00B345C8">
            <w:pPr>
              <w:pStyle w:val="TableRow"/>
              <w:rPr>
                <w:color w:val="4F81BD" w:themeColor="accent1"/>
              </w:rPr>
            </w:pPr>
            <w:r w:rsidRPr="00182B6B">
              <w:rPr>
                <w:color w:val="4F81BD" w:themeColor="accent1"/>
              </w:rPr>
              <w:t>November 2024</w:t>
            </w:r>
          </w:p>
          <w:p w14:paraId="2A7D54C5" w14:textId="66ACC079" w:rsidR="00182B6B" w:rsidRDefault="00182B6B">
            <w:pPr>
              <w:pStyle w:val="TableRow"/>
            </w:pPr>
            <w:r w:rsidRPr="00182B6B">
              <w:rPr>
                <w:color w:val="E36C0A" w:themeColor="accent6" w:themeShade="BF"/>
              </w:rPr>
              <w:t>November 2025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47F0AD" w14:textId="77777777" w:rsidR="007C4AC7" w:rsidRDefault="00671C4B" w:rsidP="00B345C8">
            <w:pPr>
              <w:pStyle w:val="TableRow"/>
              <w:ind w:left="0"/>
            </w:pPr>
            <w:proofErr w:type="spellStart"/>
            <w:proofErr w:type="gramStart"/>
            <w:r>
              <w:t>R.Morgan</w:t>
            </w:r>
            <w:proofErr w:type="spellEnd"/>
            <w:proofErr w:type="gramEnd"/>
            <w:r w:rsidR="00182B6B">
              <w:t xml:space="preserve"> (Nov 2023)</w:t>
            </w:r>
          </w:p>
          <w:p w14:paraId="2A7D54C8" w14:textId="33C98E82" w:rsidR="00182B6B" w:rsidRDefault="00182B6B" w:rsidP="00B345C8">
            <w:pPr>
              <w:pStyle w:val="TableRow"/>
              <w:ind w:left="0"/>
            </w:pPr>
            <w:proofErr w:type="spellStart"/>
            <w:proofErr w:type="gramStart"/>
            <w:r w:rsidRPr="00182B6B">
              <w:rPr>
                <w:color w:val="4F81BD" w:themeColor="accent1"/>
              </w:rPr>
              <w:t>G.Anders</w:t>
            </w:r>
            <w:proofErr w:type="spellEnd"/>
            <w:proofErr w:type="gramEnd"/>
            <w:r w:rsidRPr="00182B6B">
              <w:rPr>
                <w:color w:val="4F81BD" w:themeColor="accent1"/>
              </w:rPr>
              <w:t xml:space="preserve"> (Nov 2024)</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84A9A18" w:rsidR="002940F3" w:rsidRDefault="00671C4B">
            <w:pPr>
              <w:pStyle w:val="TableRow"/>
            </w:pPr>
            <w:proofErr w:type="spellStart"/>
            <w:r>
              <w:t>L.Hearnshaw</w:t>
            </w:r>
            <w:proofErr w:type="spellEnd"/>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5979A159" w:rsidR="002940F3" w:rsidRDefault="00A84822">
            <w:pPr>
              <w:pStyle w:val="TableRow"/>
            </w:pPr>
            <w:r>
              <w:t>Mr. G. Ashley</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8C4890" w14:textId="77777777" w:rsidR="00E66558" w:rsidRDefault="007C4AC7">
            <w:pPr>
              <w:pStyle w:val="TableRow"/>
            </w:pPr>
            <w:r>
              <w:t xml:space="preserve">2023-2024: </w:t>
            </w:r>
            <w:r w:rsidR="009D71E8">
              <w:t>£</w:t>
            </w:r>
            <w:r w:rsidR="009F077E">
              <w:t>300,282</w:t>
            </w:r>
          </w:p>
          <w:p w14:paraId="65916169" w14:textId="5AB28B62" w:rsidR="00182B6B" w:rsidRPr="007E7148" w:rsidRDefault="00182B6B">
            <w:pPr>
              <w:pStyle w:val="TableRow"/>
              <w:rPr>
                <w:color w:val="0070C0"/>
              </w:rPr>
            </w:pPr>
            <w:r w:rsidRPr="007E7148">
              <w:rPr>
                <w:color w:val="0070C0"/>
              </w:rPr>
              <w:t>2024-2025:</w:t>
            </w:r>
            <w:r w:rsidR="007E7148" w:rsidRPr="007E7148">
              <w:rPr>
                <w:color w:val="0070C0"/>
              </w:rPr>
              <w:t xml:space="preserve"> £289,300</w:t>
            </w:r>
          </w:p>
          <w:p w14:paraId="58842F17" w14:textId="0E9A090B" w:rsidR="00182B6B" w:rsidRDefault="00182B6B">
            <w:pPr>
              <w:pStyle w:val="TableRow"/>
            </w:pPr>
            <w:r>
              <w:t>202</w:t>
            </w:r>
            <w:r w:rsidR="007E7148">
              <w:t>5</w:t>
            </w:r>
            <w:r>
              <w:t>-2026:</w:t>
            </w:r>
          </w:p>
          <w:p w14:paraId="2A7D54D8" w14:textId="388BDAC5" w:rsidR="007C4AC7" w:rsidRDefault="007C4AC7">
            <w:pPr>
              <w:pStyle w:val="TableRow"/>
            </w:pP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lastRenderedPageBreak/>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4EBEF2" w14:textId="77777777" w:rsidR="00E66558" w:rsidRDefault="007C4AC7">
            <w:pPr>
              <w:pStyle w:val="TableRow"/>
            </w:pPr>
            <w:r>
              <w:t xml:space="preserve">2023-2024: </w:t>
            </w:r>
            <w:r w:rsidR="009D71E8">
              <w:t>£</w:t>
            </w:r>
            <w:r w:rsidR="009F077E">
              <w:t>28,923</w:t>
            </w:r>
          </w:p>
          <w:p w14:paraId="63B0BAFB" w14:textId="3F2B2510" w:rsidR="00182B6B" w:rsidRDefault="00182B6B">
            <w:pPr>
              <w:pStyle w:val="TableRow"/>
            </w:pPr>
            <w:r>
              <w:t>2024-2025:</w:t>
            </w:r>
            <w:r w:rsidR="007E7148">
              <w:t xml:space="preserve"> £6,185</w:t>
            </w:r>
          </w:p>
          <w:p w14:paraId="2A7D54DB" w14:textId="685477C7" w:rsidR="007C4AC7" w:rsidRDefault="007C4AC7">
            <w:pPr>
              <w:pStyle w:val="TableRow"/>
            </w:pP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4CEE03" w14:textId="77777777" w:rsidR="00E66558" w:rsidRDefault="007C4AC7">
            <w:pPr>
              <w:pStyle w:val="TableRow"/>
            </w:pPr>
            <w:r>
              <w:t xml:space="preserve">2023-2024: </w:t>
            </w:r>
            <w:r w:rsidR="009D71E8">
              <w:t>£</w:t>
            </w:r>
            <w:r w:rsidR="009F077E">
              <w:t>0</w:t>
            </w:r>
          </w:p>
          <w:p w14:paraId="489A94CE" w14:textId="1386CC63" w:rsidR="00182B6B" w:rsidRPr="007E7148" w:rsidRDefault="00182B6B">
            <w:pPr>
              <w:pStyle w:val="TableRow"/>
              <w:rPr>
                <w:color w:val="0070C0"/>
              </w:rPr>
            </w:pPr>
            <w:r w:rsidRPr="007E7148">
              <w:rPr>
                <w:color w:val="0070C0"/>
              </w:rPr>
              <w:t>2024-2025:</w:t>
            </w:r>
            <w:r w:rsidR="007E7148" w:rsidRPr="007E7148">
              <w:rPr>
                <w:color w:val="0070C0"/>
              </w:rPr>
              <w:t xml:space="preserve"> £0</w:t>
            </w:r>
          </w:p>
          <w:p w14:paraId="452D025F" w14:textId="63C3F510" w:rsidR="00182B6B" w:rsidRDefault="00182B6B">
            <w:pPr>
              <w:pStyle w:val="TableRow"/>
            </w:pPr>
            <w:r>
              <w:t>2025-2026:</w:t>
            </w:r>
          </w:p>
          <w:p w14:paraId="0069C576" w14:textId="77777777" w:rsidR="00182B6B" w:rsidRDefault="00182B6B">
            <w:pPr>
              <w:pStyle w:val="TableRow"/>
            </w:pPr>
          </w:p>
          <w:p w14:paraId="2A7D54DE" w14:textId="0B8400B0" w:rsidR="007C4AC7" w:rsidRDefault="007C4AC7">
            <w:pPr>
              <w:pStyle w:val="TableRow"/>
            </w:pP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657521B6" w:rsidR="00E66558" w:rsidRPr="003C4388" w:rsidRDefault="00E66558">
            <w:pPr>
              <w:pStyle w:val="TableRow"/>
              <w:rPr>
                <w:i/>
                <w:iCs/>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FFAE4" w14:textId="494E1B0B" w:rsidR="00E66558" w:rsidRDefault="007C4AC7">
            <w:pPr>
              <w:pStyle w:val="TableRow"/>
              <w:rPr>
                <w:b/>
                <w:bCs/>
              </w:rPr>
            </w:pPr>
            <w:r>
              <w:rPr>
                <w:b/>
                <w:bCs/>
              </w:rPr>
              <w:t xml:space="preserve">2023-2024: </w:t>
            </w:r>
            <w:r w:rsidR="009D71E8" w:rsidRPr="007E7148">
              <w:t>£</w:t>
            </w:r>
            <w:r w:rsidR="00326EC4" w:rsidRPr="007E7148">
              <w:t>329,205</w:t>
            </w:r>
          </w:p>
          <w:p w14:paraId="5DECB477" w14:textId="45148EAF" w:rsidR="00182B6B" w:rsidRPr="007E7148" w:rsidRDefault="00182B6B">
            <w:pPr>
              <w:pStyle w:val="TableRow"/>
              <w:rPr>
                <w:b/>
                <w:bCs/>
                <w:color w:val="0070C0"/>
              </w:rPr>
            </w:pPr>
            <w:r w:rsidRPr="007E7148">
              <w:rPr>
                <w:b/>
                <w:bCs/>
                <w:color w:val="0070C0"/>
              </w:rPr>
              <w:t xml:space="preserve">2024-2025: </w:t>
            </w:r>
            <w:r w:rsidR="007E7148" w:rsidRPr="007E7148">
              <w:rPr>
                <w:color w:val="0070C0"/>
              </w:rPr>
              <w:t>£295,485</w:t>
            </w:r>
          </w:p>
          <w:p w14:paraId="2A7D54E2" w14:textId="621B08EC" w:rsidR="007C4AC7" w:rsidRPr="00B65F04" w:rsidRDefault="007C4AC7">
            <w:pPr>
              <w:pStyle w:val="TableRow"/>
              <w:rPr>
                <w:b/>
                <w:bCs/>
              </w:rPr>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1A039" w14:textId="27D5FE01" w:rsidR="00CF7D93" w:rsidRPr="004317B3" w:rsidRDefault="00CF7D93" w:rsidP="00CF7D93">
            <w:pPr>
              <w:rPr>
                <w:iCs/>
                <w:sz w:val="22"/>
              </w:rPr>
            </w:pPr>
            <w:r w:rsidRPr="004317B3">
              <w:rPr>
                <w:iCs/>
                <w:sz w:val="22"/>
              </w:rPr>
              <w:t xml:space="preserve">Northcote Primary school is a two-form entry </w:t>
            </w:r>
            <w:r w:rsidR="00461C0B" w:rsidRPr="004317B3">
              <w:rPr>
                <w:iCs/>
                <w:sz w:val="22"/>
              </w:rPr>
              <w:t xml:space="preserve">primary school in the heart of Walton, north Liverpool. The school provides a secure, inclusive environment where the school values of ‘Caring, Learning, </w:t>
            </w:r>
            <w:proofErr w:type="gramStart"/>
            <w:r w:rsidR="00461C0B" w:rsidRPr="004317B3">
              <w:rPr>
                <w:iCs/>
                <w:sz w:val="22"/>
              </w:rPr>
              <w:t>Growing</w:t>
            </w:r>
            <w:proofErr w:type="gramEnd"/>
            <w:r w:rsidR="00461C0B" w:rsidRPr="004317B3">
              <w:rPr>
                <w:iCs/>
                <w:sz w:val="22"/>
              </w:rPr>
              <w:t>’ underpin daily school life for all children, allowing them to develop positive personal qualities, social awareness and understanding.</w:t>
            </w:r>
          </w:p>
          <w:p w14:paraId="3A73CEF3" w14:textId="2069A0CF" w:rsidR="00461C0B" w:rsidRPr="004317B3" w:rsidRDefault="00461C0B" w:rsidP="00CF7D93">
            <w:pPr>
              <w:rPr>
                <w:sz w:val="22"/>
              </w:rPr>
            </w:pPr>
            <w:r w:rsidRPr="004317B3">
              <w:rPr>
                <w:sz w:val="22"/>
              </w:rPr>
              <w:t>The focus of our pupil premium strategy is to support disadvantaged pupils to achieve that goal, including progress for those who are already high attainers. We are also very mindful of those families and pupils who are not in receipt of FSM are also functioning in challenging situations, therefore this funding will also be used to support these families.</w:t>
            </w:r>
          </w:p>
          <w:p w14:paraId="35F8B7D4" w14:textId="149223D1" w:rsidR="00461C0B" w:rsidRPr="004317B3" w:rsidRDefault="00461C0B" w:rsidP="00461C0B">
            <w:pPr>
              <w:rPr>
                <w:sz w:val="22"/>
              </w:rPr>
            </w:pPr>
            <w:r w:rsidRPr="004317B3">
              <w:rPr>
                <w:sz w:val="22"/>
              </w:rPr>
              <w:t xml:space="preserve">Our approach will be responsive to common challenges and individual needs, rooted in robust diagnostic assessment, not assumptions about the impact of disadvantage. The approaches we have adopted complement each other to help pupils excel. </w:t>
            </w:r>
          </w:p>
          <w:p w14:paraId="3868AB1C" w14:textId="29BD8ECC" w:rsidR="004317B3" w:rsidRPr="004317B3" w:rsidRDefault="004317B3" w:rsidP="00461C0B">
            <w:pPr>
              <w:rPr>
                <w:sz w:val="22"/>
              </w:rPr>
            </w:pPr>
            <w:r>
              <w:rPr>
                <w:sz w:val="22"/>
              </w:rPr>
              <w:t xml:space="preserve">In line with the EEF Pupil Premium Guide (April ’22) </w:t>
            </w:r>
            <w:r w:rsidRPr="004317B3">
              <w:rPr>
                <w:sz w:val="22"/>
              </w:rPr>
              <w:t xml:space="preserve">Northcote Primary School </w:t>
            </w:r>
            <w:r w:rsidR="00461C0B" w:rsidRPr="004317B3">
              <w:rPr>
                <w:sz w:val="22"/>
              </w:rPr>
              <w:t>continues to adopt a tiered approach to Pupil Premium Spending with a focus on the followin</w:t>
            </w:r>
            <w:r w:rsidRPr="004317B3">
              <w:rPr>
                <w:sz w:val="22"/>
              </w:rPr>
              <w:t>g:</w:t>
            </w:r>
          </w:p>
          <w:p w14:paraId="2474F652" w14:textId="77777777" w:rsidR="004317B3" w:rsidRPr="004317B3" w:rsidRDefault="004317B3" w:rsidP="00461C0B">
            <w:pPr>
              <w:rPr>
                <w:sz w:val="22"/>
              </w:rPr>
            </w:pPr>
            <w:r w:rsidRPr="004317B3">
              <w:rPr>
                <w:b/>
                <w:sz w:val="22"/>
              </w:rPr>
              <w:t>Quality First Teaching</w:t>
            </w:r>
            <w:r w:rsidRPr="004317B3">
              <w:rPr>
                <w:sz w:val="22"/>
              </w:rPr>
              <w:t xml:space="preserve"> - Ensuring an effective teacher is in front of every class, and that every teacher is supported to keep improving, is the key ingredient of a successful school and should rightly be the top priority for Pupil Premium spending. Spending on improving teaching might, but not exclusively, include professional development and training. </w:t>
            </w:r>
          </w:p>
          <w:p w14:paraId="2D9EE0B2" w14:textId="5B9A4204" w:rsidR="004317B3" w:rsidRPr="004317B3" w:rsidRDefault="004317B3" w:rsidP="00461C0B">
            <w:pPr>
              <w:rPr>
                <w:sz w:val="22"/>
              </w:rPr>
            </w:pPr>
            <w:r w:rsidRPr="004317B3">
              <w:rPr>
                <w:b/>
                <w:sz w:val="22"/>
              </w:rPr>
              <w:t>Targeted academic support</w:t>
            </w:r>
            <w:r w:rsidRPr="004317B3">
              <w:rPr>
                <w:sz w:val="22"/>
              </w:rPr>
              <w:t xml:space="preserve"> - Evidence consistently shows the positive impact that targeted academic support can have, including on those who are not making good progress. Considering how classroom teachers and teaching assistants can provide targeted academic support, including how to link structured one-to-one or small group intervention to classroom teaching, is likely to be a key component of an effective Pupil Premium strategy. The EEF have evaluated the impact of a range of strategies and schools are encouraged to make use of these resources. </w:t>
            </w:r>
          </w:p>
          <w:p w14:paraId="57C9622D" w14:textId="42E36EFA" w:rsidR="004317B3" w:rsidRDefault="004317B3" w:rsidP="00461C0B">
            <w:pPr>
              <w:rPr>
                <w:sz w:val="22"/>
              </w:rPr>
            </w:pPr>
            <w:r w:rsidRPr="004317B3">
              <w:rPr>
                <w:b/>
                <w:sz w:val="22"/>
              </w:rPr>
              <w:t>Wider strategies</w:t>
            </w:r>
            <w:r w:rsidRPr="004317B3">
              <w:rPr>
                <w:sz w:val="22"/>
              </w:rPr>
              <w:t xml:space="preserve"> - Wider strategies relate to the most significant non-academic barriers to success in school, including attendance, behaviour and social and emotional support. While many barriers may be common between schools, it is also likely that the specific features of the community each school serves will affect spending in this category.</w:t>
            </w:r>
          </w:p>
          <w:p w14:paraId="2A7D54E9" w14:textId="084FFCFE" w:rsidR="00461C0B" w:rsidRPr="004317B3" w:rsidRDefault="004317B3" w:rsidP="00461C0B">
            <w:pPr>
              <w:rPr>
                <w:sz w:val="20"/>
              </w:rPr>
            </w:pPr>
            <w:r w:rsidRPr="004317B3">
              <w:rPr>
                <w:sz w:val="22"/>
              </w:rPr>
              <w:t xml:space="preserve">Overcoming barriers to learning is vital to our Pupil Premium Grant use. We understand that needs and costs will differ depending on the barriers to learning being addressed. As such, we do not automatically allocate personal budgets per pupil in receipt of the Pupil Premium Grant. Instead, we identify the barrier to be </w:t>
            </w:r>
            <w:proofErr w:type="gramStart"/>
            <w:r w:rsidRPr="004317B3">
              <w:rPr>
                <w:sz w:val="22"/>
              </w:rPr>
              <w:t>addressed</w:t>
            </w:r>
            <w:proofErr w:type="gramEnd"/>
            <w:r w:rsidRPr="004317B3">
              <w:rPr>
                <w:sz w:val="22"/>
              </w:rPr>
              <w:t xml:space="preserve"> and the interventions required, whether in small groups, large groups, the whole school or as individuals, and allocate a budget accordingly. Through our recovery premium spending, our strategy is also integral to wider school plans for education recovery, following the COVID-19 pandemic</w:t>
            </w:r>
            <w:r w:rsidR="000D7063">
              <w:rPr>
                <w:sz w:val="22"/>
              </w:rPr>
              <w:t>.</w:t>
            </w:r>
          </w:p>
        </w:tc>
      </w:tr>
    </w:tbl>
    <w:p w14:paraId="2A7D54EB" w14:textId="155442D5"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p w14:paraId="09610F2C" w14:textId="38B10B9E" w:rsidR="007C4AC7" w:rsidRPr="007C4AC7" w:rsidRDefault="007C4AC7" w:rsidP="00AA355B">
      <w:pPr>
        <w:rPr>
          <w:color w:val="0070C0"/>
          <w:sz w:val="20"/>
          <w:szCs w:val="20"/>
        </w:rPr>
      </w:pPr>
      <w:r w:rsidRPr="007C4AC7">
        <w:rPr>
          <w:color w:val="0070C0"/>
          <w:sz w:val="20"/>
          <w:szCs w:val="20"/>
        </w:rPr>
        <w:t xml:space="preserve">2024-2025 Update: </w:t>
      </w:r>
      <w:r w:rsidRPr="007C4AC7">
        <w:rPr>
          <w:rFonts w:cs="Arial"/>
          <w:color w:val="0070C0"/>
          <w:sz w:val="20"/>
          <w:szCs w:val="20"/>
        </w:rPr>
        <w:t>We believe as a school</w:t>
      </w:r>
      <w:r w:rsidR="003264CF">
        <w:rPr>
          <w:rFonts w:cs="Arial"/>
          <w:color w:val="0070C0"/>
          <w:sz w:val="20"/>
          <w:szCs w:val="20"/>
        </w:rPr>
        <w:t>,</w:t>
      </w:r>
      <w:r w:rsidRPr="007C4AC7">
        <w:rPr>
          <w:rFonts w:cs="Arial"/>
          <w:color w:val="0070C0"/>
          <w:sz w:val="20"/>
          <w:szCs w:val="20"/>
        </w:rPr>
        <w:t xml:space="preserve"> these are </w:t>
      </w:r>
      <w:r w:rsidR="003264CF">
        <w:rPr>
          <w:rFonts w:cs="Arial"/>
          <w:color w:val="0070C0"/>
          <w:sz w:val="20"/>
          <w:szCs w:val="20"/>
        </w:rPr>
        <w:t xml:space="preserve">mostly </w:t>
      </w:r>
      <w:r w:rsidRPr="007C4AC7">
        <w:rPr>
          <w:rFonts w:cs="Arial"/>
          <w:color w:val="0070C0"/>
          <w:sz w:val="20"/>
          <w:szCs w:val="20"/>
        </w:rPr>
        <w:t>still the challenges we are facing. We will continue with the targets set and any update we have we will be in this colour.</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02779AA" w:rsidR="00E66558" w:rsidRDefault="00910D6B">
            <w:pPr>
              <w:pStyle w:val="TableRowCentered"/>
              <w:jc w:val="left"/>
            </w:pPr>
            <w:r>
              <w:t>School readiness (low academic baselines on entry into Nursery and Reception, not at expected stage of development socially and emotionally).</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6E0061D" w:rsidR="00E66558" w:rsidRDefault="00910D6B">
            <w:pPr>
              <w:pStyle w:val="TableRowCentered"/>
              <w:jc w:val="left"/>
              <w:rPr>
                <w:sz w:val="22"/>
                <w:szCs w:val="22"/>
              </w:rPr>
            </w:pPr>
            <w:r>
              <w:t>Delayed language and vocabulary skills (speaking &amp; reading skills).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F67595F" w:rsidR="00E66558" w:rsidRDefault="00910D6B">
            <w:pPr>
              <w:pStyle w:val="TableRowCentered"/>
              <w:jc w:val="left"/>
              <w:rPr>
                <w:sz w:val="22"/>
                <w:szCs w:val="22"/>
              </w:rPr>
            </w:pPr>
            <w:r>
              <w:t>Increased numbers of pupils with complex needs, including speech and language, social communication, poor working memory, attention difficulties, motor skills, ASD &amp; social emotional and mental health.</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7D33C" w14:textId="26664209" w:rsidR="003264CF" w:rsidRPr="003264CF" w:rsidRDefault="00910D6B" w:rsidP="003264CF">
            <w:pPr>
              <w:pStyle w:val="TableRowCentered"/>
              <w:jc w:val="left"/>
            </w:pPr>
            <w:r>
              <w:t xml:space="preserve">Effect of the national COVID-19 pandemic has caused gaps to widen; </w:t>
            </w:r>
            <w:r w:rsidR="00C0083E">
              <w:t>the attainment gap between girls and boys, particularly in reading and writing.</w:t>
            </w:r>
          </w:p>
          <w:p w14:paraId="2A7D54FA" w14:textId="0B12EFE2" w:rsidR="003264CF" w:rsidRPr="003264CF" w:rsidRDefault="003264CF">
            <w:pPr>
              <w:pStyle w:val="TableRowCentered"/>
              <w:jc w:val="left"/>
              <w:rPr>
                <w:iCs/>
                <w:sz w:val="20"/>
              </w:rPr>
            </w:pPr>
            <w:r w:rsidRPr="003264CF">
              <w:rPr>
                <w:iCs/>
                <w:color w:val="0070C0"/>
                <w:sz w:val="20"/>
              </w:rPr>
              <w:t>Analysis of attainment data from 2023-2024 has shown that there has been a closing of the attainment gap between boys and girls.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C6B9147" w:rsidR="00E66558" w:rsidRDefault="00C0083E">
            <w:pPr>
              <w:pStyle w:val="TableRowCentered"/>
              <w:jc w:val="left"/>
              <w:rPr>
                <w:iCs/>
                <w:sz w:val="22"/>
              </w:rPr>
            </w:pPr>
            <w:r>
              <w:t>Attendance and number of Persistent Absentees.</w:t>
            </w:r>
          </w:p>
        </w:tc>
      </w:tr>
      <w:tr w:rsidR="00C0083E" w14:paraId="2E5B6FE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350F2" w14:textId="5760B993" w:rsidR="00C0083E" w:rsidRDefault="00C0083E">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1F37" w14:textId="47AD1DE5" w:rsidR="00C0083E" w:rsidRDefault="00C0083E">
            <w:pPr>
              <w:pStyle w:val="TableRowCentered"/>
              <w:jc w:val="left"/>
            </w:pPr>
            <w:r>
              <w:t>Vulnerable families and pupils with socio-economic or social, emotional or mental health difficulties.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FA64695" w:rsidR="00E66558" w:rsidRPr="00555DF4" w:rsidRDefault="002B637B">
            <w:pPr>
              <w:pStyle w:val="TableRow"/>
              <w:rPr>
                <w:sz w:val="22"/>
              </w:rPr>
            </w:pPr>
            <w:r w:rsidRPr="00555DF4">
              <w:rPr>
                <w:sz w:val="22"/>
              </w:rPr>
              <w:t>1.</w:t>
            </w:r>
            <w:r w:rsidR="00C0083E" w:rsidRPr="00555DF4">
              <w:rPr>
                <w:sz w:val="22"/>
              </w:rPr>
              <w:t>Pupils with low attendance/ lateness levels are supported and challenged.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6A833" w14:textId="77777777" w:rsidR="00A23412" w:rsidRPr="00555DF4" w:rsidRDefault="00A23412" w:rsidP="00A23412">
            <w:pPr>
              <w:pStyle w:val="TableRowCentered"/>
              <w:numPr>
                <w:ilvl w:val="0"/>
                <w:numId w:val="15"/>
              </w:numPr>
              <w:ind w:left="313"/>
              <w:jc w:val="left"/>
              <w:rPr>
                <w:sz w:val="22"/>
                <w:szCs w:val="24"/>
              </w:rPr>
            </w:pPr>
            <w:r w:rsidRPr="00555DF4">
              <w:rPr>
                <w:sz w:val="22"/>
                <w:szCs w:val="24"/>
              </w:rPr>
              <w:t>Whole school attendance percentages to reach pre-Covid levels</w:t>
            </w:r>
          </w:p>
          <w:p w14:paraId="21EBAEE0" w14:textId="09E359ED" w:rsidR="00E66558" w:rsidRPr="00555DF4" w:rsidRDefault="00A23412" w:rsidP="000D7063">
            <w:pPr>
              <w:pStyle w:val="TableRowCentered"/>
              <w:numPr>
                <w:ilvl w:val="0"/>
                <w:numId w:val="15"/>
              </w:numPr>
              <w:jc w:val="left"/>
              <w:rPr>
                <w:sz w:val="22"/>
                <w:szCs w:val="24"/>
              </w:rPr>
            </w:pPr>
            <w:r w:rsidRPr="00555DF4">
              <w:rPr>
                <w:sz w:val="22"/>
                <w:szCs w:val="24"/>
              </w:rPr>
              <w:t>Reduce persistent absenteeism across the school</w:t>
            </w:r>
          </w:p>
          <w:p w14:paraId="2A7D5505" w14:textId="6AC5F846" w:rsidR="00A23412" w:rsidRPr="00555DF4" w:rsidRDefault="00A23412" w:rsidP="00A23412">
            <w:pPr>
              <w:pStyle w:val="TableRowCentered"/>
              <w:numPr>
                <w:ilvl w:val="0"/>
                <w:numId w:val="14"/>
              </w:numPr>
              <w:ind w:left="455"/>
              <w:jc w:val="left"/>
              <w:rPr>
                <w:sz w:val="22"/>
                <w:szCs w:val="24"/>
              </w:rPr>
            </w:pPr>
            <w:r w:rsidRPr="00555DF4">
              <w:rPr>
                <w:sz w:val="22"/>
                <w:szCs w:val="24"/>
              </w:rPr>
              <w:t>Improvement in punctuality for targeted families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AA7C85E" w:rsidR="00E66558" w:rsidRPr="00555DF4" w:rsidRDefault="002B637B">
            <w:pPr>
              <w:pStyle w:val="TableRow"/>
              <w:rPr>
                <w:sz w:val="22"/>
                <w:szCs w:val="22"/>
              </w:rPr>
            </w:pPr>
            <w:r w:rsidRPr="00555DF4">
              <w:rPr>
                <w:sz w:val="22"/>
              </w:rPr>
              <w:t>2.</w:t>
            </w:r>
            <w:r w:rsidR="00A23412" w:rsidRPr="00555DF4">
              <w:rPr>
                <w:sz w:val="22"/>
              </w:rPr>
              <w:t>Create an inclusive setting with a specific focus on improving the quality of education for our pupils with SEND.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12BD" w14:textId="77777777" w:rsidR="00E66558" w:rsidRPr="00555DF4" w:rsidRDefault="00A23412" w:rsidP="00A23412">
            <w:pPr>
              <w:pStyle w:val="TableRowCentered"/>
              <w:numPr>
                <w:ilvl w:val="0"/>
                <w:numId w:val="14"/>
              </w:numPr>
              <w:jc w:val="left"/>
              <w:rPr>
                <w:sz w:val="22"/>
                <w:szCs w:val="22"/>
              </w:rPr>
            </w:pPr>
            <w:r w:rsidRPr="00555DF4">
              <w:rPr>
                <w:sz w:val="22"/>
                <w:szCs w:val="22"/>
              </w:rPr>
              <w:t>Development of specialist SEND provision (Physical environment) across the school</w:t>
            </w:r>
          </w:p>
          <w:p w14:paraId="43D7DFE4" w14:textId="0EFB048A" w:rsidR="00A23412" w:rsidRPr="00555DF4" w:rsidRDefault="00A23412" w:rsidP="00A23412">
            <w:pPr>
              <w:pStyle w:val="TableRowCentered"/>
              <w:numPr>
                <w:ilvl w:val="0"/>
                <w:numId w:val="14"/>
              </w:numPr>
              <w:jc w:val="left"/>
              <w:rPr>
                <w:sz w:val="22"/>
                <w:szCs w:val="22"/>
              </w:rPr>
            </w:pPr>
            <w:r w:rsidRPr="00555DF4">
              <w:rPr>
                <w:sz w:val="22"/>
                <w:szCs w:val="22"/>
              </w:rPr>
              <w:t xml:space="preserve">Staff professional development training focused on the needs of the children in school </w:t>
            </w:r>
          </w:p>
          <w:p w14:paraId="2A7D5508" w14:textId="40AA7DC9" w:rsidR="00A23412" w:rsidRPr="00555DF4" w:rsidRDefault="00A23412" w:rsidP="00A23412">
            <w:pPr>
              <w:pStyle w:val="TableRowCentered"/>
              <w:numPr>
                <w:ilvl w:val="0"/>
                <w:numId w:val="14"/>
              </w:numPr>
              <w:jc w:val="left"/>
              <w:rPr>
                <w:sz w:val="22"/>
                <w:szCs w:val="22"/>
              </w:rPr>
            </w:pPr>
            <w:r w:rsidRPr="00555DF4">
              <w:rPr>
                <w:sz w:val="22"/>
                <w:szCs w:val="22"/>
              </w:rPr>
              <w:t xml:space="preserve">Operation of specialist interventions with a specific focus on identifying </w:t>
            </w:r>
            <w:r w:rsidRPr="00555DF4">
              <w:rPr>
                <w:sz w:val="22"/>
                <w:szCs w:val="22"/>
              </w:rPr>
              <w:lastRenderedPageBreak/>
              <w:t>needs and removing barriers to learning.</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797798F" w:rsidR="00E66558" w:rsidRPr="00555DF4" w:rsidRDefault="002B637B">
            <w:pPr>
              <w:pStyle w:val="TableRow"/>
              <w:rPr>
                <w:sz w:val="22"/>
                <w:szCs w:val="22"/>
              </w:rPr>
            </w:pPr>
            <w:r w:rsidRPr="00555DF4">
              <w:rPr>
                <w:sz w:val="22"/>
              </w:rPr>
              <w:lastRenderedPageBreak/>
              <w:t>3.</w:t>
            </w:r>
            <w:r w:rsidR="0077390F" w:rsidRPr="00555DF4">
              <w:rPr>
                <w:sz w:val="22"/>
              </w:rPr>
              <w:t>To achieve higher rates of progress across KS1 &amp; 2 for pupils (incl. those eligible for PP</w:t>
            </w:r>
            <w:r w:rsidR="00786C33" w:rsidRPr="00555DF4">
              <w:rPr>
                <w:sz w:val="22"/>
              </w:rPr>
              <w:t xml:space="preserve"> therefore narrowing existing gaps</w:t>
            </w:r>
            <w:r w:rsidR="0077390F" w:rsidRPr="00555DF4">
              <w:rPr>
                <w:sz w:val="22"/>
              </w:rPr>
              <w:t xml:space="preserve">) across all aspects of the curriculum. To raise attainment and accelerate pupil progress, particularly for boys in reading, writing and maths.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AB632" w14:textId="7F498E1D" w:rsidR="00E66558" w:rsidRPr="00555DF4" w:rsidRDefault="00457E5C" w:rsidP="0077390F">
            <w:pPr>
              <w:pStyle w:val="TableRowCentered"/>
              <w:numPr>
                <w:ilvl w:val="0"/>
                <w:numId w:val="16"/>
              </w:numPr>
              <w:jc w:val="left"/>
              <w:rPr>
                <w:sz w:val="22"/>
                <w:szCs w:val="22"/>
              </w:rPr>
            </w:pPr>
            <w:r w:rsidRPr="00555DF4">
              <w:rPr>
                <w:sz w:val="22"/>
                <w:szCs w:val="22"/>
              </w:rPr>
              <w:t>Improvement</w:t>
            </w:r>
            <w:r w:rsidR="0077390F" w:rsidRPr="00555DF4">
              <w:rPr>
                <w:sz w:val="22"/>
                <w:szCs w:val="22"/>
              </w:rPr>
              <w:t xml:space="preserve"> in attainment </w:t>
            </w:r>
            <w:r w:rsidRPr="00555DF4">
              <w:rPr>
                <w:sz w:val="22"/>
                <w:szCs w:val="22"/>
              </w:rPr>
              <w:t>within core subjects</w:t>
            </w:r>
            <w:r w:rsidR="0077390F" w:rsidRPr="00555DF4">
              <w:rPr>
                <w:sz w:val="22"/>
                <w:szCs w:val="22"/>
              </w:rPr>
              <w:t xml:space="preserve"> across the school.</w:t>
            </w:r>
          </w:p>
          <w:p w14:paraId="35616BB8" w14:textId="75F762F0" w:rsidR="00457E5C" w:rsidRPr="00555DF4" w:rsidRDefault="00457E5C" w:rsidP="0077390F">
            <w:pPr>
              <w:pStyle w:val="TableRowCentered"/>
              <w:numPr>
                <w:ilvl w:val="0"/>
                <w:numId w:val="16"/>
              </w:numPr>
              <w:jc w:val="left"/>
              <w:rPr>
                <w:sz w:val="22"/>
                <w:szCs w:val="22"/>
              </w:rPr>
            </w:pPr>
            <w:r w:rsidRPr="00555DF4">
              <w:rPr>
                <w:sz w:val="22"/>
                <w:szCs w:val="22"/>
              </w:rPr>
              <w:t>As a focus group, boys will show an increase in progress and attainment, particularly in reading and writing.</w:t>
            </w:r>
          </w:p>
          <w:p w14:paraId="2A7D550B" w14:textId="43DDF734" w:rsidR="00457E5C" w:rsidRPr="00555DF4" w:rsidRDefault="00457E5C" w:rsidP="0077390F">
            <w:pPr>
              <w:pStyle w:val="TableRowCentered"/>
              <w:numPr>
                <w:ilvl w:val="0"/>
                <w:numId w:val="16"/>
              </w:numPr>
              <w:jc w:val="left"/>
              <w:rPr>
                <w:sz w:val="22"/>
                <w:szCs w:val="22"/>
              </w:rPr>
            </w:pPr>
            <w:r w:rsidRPr="00555DF4">
              <w:rPr>
                <w:sz w:val="22"/>
                <w:szCs w:val="22"/>
              </w:rPr>
              <w:t>In KS2 there will be an increase in children who are eligible for PP achieving GDS in reading.</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B5286C0" w:rsidR="00E66558" w:rsidRPr="00555DF4" w:rsidRDefault="002B637B">
            <w:pPr>
              <w:pStyle w:val="TableRow"/>
              <w:rPr>
                <w:sz w:val="22"/>
                <w:szCs w:val="22"/>
              </w:rPr>
            </w:pPr>
            <w:r w:rsidRPr="00555DF4">
              <w:rPr>
                <w:sz w:val="22"/>
              </w:rPr>
              <w:t>4.</w:t>
            </w:r>
            <w:r w:rsidR="00457E5C" w:rsidRPr="00555DF4">
              <w:rPr>
                <w:sz w:val="22"/>
              </w:rPr>
              <w:t>Early identification process ensures cumulative closing of academic gaps across the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76A39" w14:textId="77777777" w:rsidR="00457E5C" w:rsidRPr="00555DF4" w:rsidRDefault="00457E5C" w:rsidP="00457E5C">
            <w:pPr>
              <w:pStyle w:val="TableRowCentered"/>
              <w:numPr>
                <w:ilvl w:val="0"/>
                <w:numId w:val="17"/>
              </w:numPr>
              <w:jc w:val="left"/>
              <w:rPr>
                <w:sz w:val="22"/>
                <w:szCs w:val="22"/>
              </w:rPr>
            </w:pPr>
            <w:r w:rsidRPr="00555DF4">
              <w:rPr>
                <w:sz w:val="22"/>
              </w:rPr>
              <w:t xml:space="preserve">Early Identification of specific academic needs. </w:t>
            </w:r>
          </w:p>
          <w:p w14:paraId="5B543E7C" w14:textId="77777777" w:rsidR="00457E5C" w:rsidRPr="00555DF4" w:rsidRDefault="00457E5C" w:rsidP="00457E5C">
            <w:pPr>
              <w:pStyle w:val="TableRowCentered"/>
              <w:numPr>
                <w:ilvl w:val="0"/>
                <w:numId w:val="17"/>
              </w:numPr>
              <w:jc w:val="left"/>
              <w:rPr>
                <w:sz w:val="22"/>
                <w:szCs w:val="22"/>
              </w:rPr>
            </w:pPr>
            <w:r w:rsidRPr="00555DF4">
              <w:rPr>
                <w:sz w:val="22"/>
              </w:rPr>
              <w:t xml:space="preserve">Timed and progressive interventions in place to ensure accurate measurement of progress. </w:t>
            </w:r>
          </w:p>
          <w:p w14:paraId="2A7D550E" w14:textId="22A2D1B8" w:rsidR="00E66558" w:rsidRPr="00555DF4" w:rsidRDefault="00457E5C" w:rsidP="00457E5C">
            <w:pPr>
              <w:pStyle w:val="TableRowCentered"/>
              <w:numPr>
                <w:ilvl w:val="0"/>
                <w:numId w:val="17"/>
              </w:numPr>
              <w:jc w:val="left"/>
              <w:rPr>
                <w:sz w:val="22"/>
                <w:szCs w:val="22"/>
              </w:rPr>
            </w:pPr>
            <w:r w:rsidRPr="00555DF4">
              <w:rPr>
                <w:sz w:val="22"/>
              </w:rPr>
              <w:t>Gaps identified in Reception Baseline Assessment closed as children progress through school.</w:t>
            </w:r>
          </w:p>
        </w:tc>
      </w:tr>
      <w:tr w:rsidR="00786C33" w14:paraId="3309622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67F86" w14:textId="0CF771D7" w:rsidR="00786C33" w:rsidRPr="00555DF4" w:rsidRDefault="002B637B">
            <w:pPr>
              <w:pStyle w:val="TableRow"/>
              <w:rPr>
                <w:sz w:val="22"/>
              </w:rPr>
            </w:pPr>
            <w:r w:rsidRPr="00555DF4">
              <w:rPr>
                <w:sz w:val="22"/>
              </w:rPr>
              <w:t>5.</w:t>
            </w:r>
            <w:r w:rsidR="00786C33" w:rsidRPr="00555DF4">
              <w:rPr>
                <w:sz w:val="22"/>
              </w:rPr>
              <w:t>Effective deployment of Learning Support Assistants to ensure maximum impact on progress and attainment of all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904A" w14:textId="77777777" w:rsidR="00786C33" w:rsidRPr="00555DF4" w:rsidRDefault="00786C33" w:rsidP="00457E5C">
            <w:pPr>
              <w:pStyle w:val="TableRowCentered"/>
              <w:numPr>
                <w:ilvl w:val="0"/>
                <w:numId w:val="17"/>
              </w:numPr>
              <w:jc w:val="left"/>
              <w:rPr>
                <w:sz w:val="22"/>
              </w:rPr>
            </w:pPr>
            <w:r w:rsidRPr="00555DF4">
              <w:rPr>
                <w:sz w:val="22"/>
              </w:rPr>
              <w:t>Progress and attainment of key groups is improved.</w:t>
            </w:r>
          </w:p>
          <w:p w14:paraId="696717CF" w14:textId="29F060A1" w:rsidR="00786C33" w:rsidRPr="00555DF4" w:rsidRDefault="00786C33" w:rsidP="00457E5C">
            <w:pPr>
              <w:pStyle w:val="TableRowCentered"/>
              <w:numPr>
                <w:ilvl w:val="0"/>
                <w:numId w:val="17"/>
              </w:numPr>
              <w:jc w:val="left"/>
              <w:rPr>
                <w:sz w:val="22"/>
              </w:rPr>
            </w:pPr>
            <w:r w:rsidRPr="00555DF4">
              <w:rPr>
                <w:sz w:val="22"/>
              </w:rPr>
              <w:t>Staff have a better understanding of effective deployment of LSAs.</w:t>
            </w:r>
          </w:p>
        </w:tc>
      </w:tr>
      <w:tr w:rsidR="00786C33" w14:paraId="28170C0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DF4B0" w14:textId="4F5C1133" w:rsidR="00786C33" w:rsidRPr="00555DF4" w:rsidRDefault="002B637B">
            <w:pPr>
              <w:pStyle w:val="TableRow"/>
              <w:rPr>
                <w:sz w:val="22"/>
              </w:rPr>
            </w:pPr>
            <w:r w:rsidRPr="00555DF4">
              <w:rPr>
                <w:sz w:val="22"/>
              </w:rPr>
              <w:t>6.</w:t>
            </w:r>
            <w:r w:rsidR="00CC5935" w:rsidRPr="00555DF4">
              <w:rPr>
                <w:sz w:val="22"/>
              </w:rPr>
              <w:t>Develop pupils’ social, emotional and mental health so they fully access all aspects of school life. Ensure the curriculum (and beyond) provides opportunities for pupil engagement in arts projects, residential trips and after school clubs.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7DF6" w14:textId="77777777" w:rsidR="00CC5935" w:rsidRPr="00555DF4" w:rsidRDefault="00CC5935" w:rsidP="00CC5935">
            <w:pPr>
              <w:pStyle w:val="TableRowCentered"/>
              <w:numPr>
                <w:ilvl w:val="0"/>
                <w:numId w:val="17"/>
              </w:numPr>
              <w:jc w:val="left"/>
              <w:rPr>
                <w:sz w:val="22"/>
              </w:rPr>
            </w:pPr>
            <w:r w:rsidRPr="00555DF4">
              <w:rPr>
                <w:sz w:val="22"/>
              </w:rPr>
              <w:t xml:space="preserve">Improved pupil well-being through whole school culture, mentoring, PHSE, social &amp; emotional interventions/support and parent partnership etc. </w:t>
            </w:r>
          </w:p>
          <w:p w14:paraId="4CA75139" w14:textId="77777777" w:rsidR="00CC5935" w:rsidRPr="00555DF4" w:rsidRDefault="00CC5935" w:rsidP="00CC5935">
            <w:pPr>
              <w:pStyle w:val="TableRowCentered"/>
              <w:numPr>
                <w:ilvl w:val="0"/>
                <w:numId w:val="17"/>
              </w:numPr>
              <w:jc w:val="left"/>
              <w:rPr>
                <w:sz w:val="22"/>
              </w:rPr>
            </w:pPr>
            <w:r w:rsidRPr="00555DF4">
              <w:rPr>
                <w:sz w:val="22"/>
              </w:rPr>
              <w:t xml:space="preserve">• Pupils demonstrate improved attitudes to, and behaviour for learning. </w:t>
            </w:r>
          </w:p>
          <w:p w14:paraId="467A1C0B" w14:textId="77777777" w:rsidR="00CC5935" w:rsidRPr="00555DF4" w:rsidRDefault="00CC5935" w:rsidP="00CC5935">
            <w:pPr>
              <w:pStyle w:val="TableRowCentered"/>
              <w:numPr>
                <w:ilvl w:val="0"/>
                <w:numId w:val="17"/>
              </w:numPr>
              <w:jc w:val="left"/>
              <w:rPr>
                <w:sz w:val="22"/>
              </w:rPr>
            </w:pPr>
            <w:r w:rsidRPr="00555DF4">
              <w:rPr>
                <w:sz w:val="22"/>
              </w:rPr>
              <w:t xml:space="preserve">• Ensure that pupils are provided with breadth and balance within the curriculum. </w:t>
            </w:r>
          </w:p>
          <w:p w14:paraId="4080CBCB" w14:textId="49E3E2A1" w:rsidR="00786C33" w:rsidRPr="00555DF4" w:rsidRDefault="00CC5935" w:rsidP="00CC5935">
            <w:pPr>
              <w:pStyle w:val="TableRowCentered"/>
              <w:numPr>
                <w:ilvl w:val="0"/>
                <w:numId w:val="17"/>
              </w:numPr>
              <w:jc w:val="left"/>
              <w:rPr>
                <w:sz w:val="22"/>
              </w:rPr>
            </w:pPr>
            <w:r w:rsidRPr="00555DF4">
              <w:rPr>
                <w:sz w:val="22"/>
              </w:rPr>
              <w:t>• Equality of opportunity, improved attitudes to learning, resilience, perseverance and pupil well-being.</w:t>
            </w:r>
          </w:p>
        </w:tc>
      </w:tr>
    </w:tbl>
    <w:p w14:paraId="2A7D5512" w14:textId="7A19139E"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ABCA3E5" w:rsidR="00E66558" w:rsidRDefault="009D71E8">
      <w:r>
        <w:t>Budgeted cost: £</w:t>
      </w:r>
      <w:r w:rsidR="003714CB">
        <w:t xml:space="preserve"> </w:t>
      </w:r>
      <w:proofErr w:type="gramStart"/>
      <w:r w:rsidR="003714CB">
        <w:t>107,523</w:t>
      </w:r>
      <w:r w:rsidR="000451CD">
        <w:t xml:space="preserve">  £</w:t>
      </w:r>
      <w:proofErr w:type="gramEnd"/>
      <w:r w:rsidR="000451CD">
        <w:t>9,600</w:t>
      </w:r>
    </w:p>
    <w:p w14:paraId="2635C13E" w14:textId="58BB225E" w:rsidR="009973E2" w:rsidRPr="00C24C08" w:rsidRDefault="009973E2">
      <w:pPr>
        <w:rPr>
          <w:color w:val="4F81BD" w:themeColor="accent1"/>
        </w:rPr>
      </w:pPr>
      <w:r w:rsidRPr="00C24C08">
        <w:rPr>
          <w:color w:val="4F81BD" w:themeColor="accent1"/>
        </w:rPr>
        <w:t xml:space="preserve">2024-2025: </w:t>
      </w:r>
      <w:r w:rsidR="000451CD">
        <w:rPr>
          <w:color w:val="4F81BD" w:themeColor="accent1"/>
        </w:rPr>
        <w:t>1</w:t>
      </w:r>
      <w:r w:rsidR="00C24C08" w:rsidRPr="00C24C08">
        <w:rPr>
          <w:color w:val="4F81BD" w:themeColor="accent1"/>
        </w:rPr>
        <w:t>9,026</w:t>
      </w:r>
    </w:p>
    <w:tbl>
      <w:tblPr>
        <w:tblW w:w="5000" w:type="pct"/>
        <w:tblCellMar>
          <w:left w:w="10" w:type="dxa"/>
          <w:right w:w="10" w:type="dxa"/>
        </w:tblCellMar>
        <w:tblLook w:val="04A0" w:firstRow="1" w:lastRow="0" w:firstColumn="1" w:lastColumn="0" w:noHBand="0" w:noVBand="1"/>
      </w:tblPr>
      <w:tblGrid>
        <w:gridCol w:w="2405"/>
        <w:gridCol w:w="5550"/>
        <w:gridCol w:w="1531"/>
      </w:tblGrid>
      <w:tr w:rsidR="00A46551" w14:paraId="2A7D5519" w14:textId="77777777" w:rsidTr="00A46551">
        <w:tc>
          <w:tcPr>
            <w:tcW w:w="24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rsidP="00A46551">
            <w:pPr>
              <w:pStyle w:val="TableHeader"/>
              <w:ind w:left="34" w:right="-749"/>
              <w:jc w:val="left"/>
            </w:pPr>
            <w:r>
              <w:lastRenderedPageBreak/>
              <w:t>Activity</w:t>
            </w:r>
          </w:p>
        </w:tc>
        <w:tc>
          <w:tcPr>
            <w:tcW w:w="55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A46551" w14:paraId="2A7D551D" w14:textId="77777777" w:rsidTr="00A46551">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A0651" w14:textId="3E8271D0" w:rsidR="00E66558" w:rsidRPr="000D7063" w:rsidRDefault="00F76A68">
            <w:pPr>
              <w:pStyle w:val="TableRow"/>
              <w:rPr>
                <w:sz w:val="22"/>
                <w:szCs w:val="22"/>
              </w:rPr>
            </w:pPr>
            <w:r w:rsidRPr="000D7063">
              <w:rPr>
                <w:sz w:val="22"/>
                <w:szCs w:val="22"/>
              </w:rPr>
              <w:t xml:space="preserve">Research and </w:t>
            </w:r>
            <w:r w:rsidR="000D7063" w:rsidRPr="000D7063">
              <w:rPr>
                <w:sz w:val="22"/>
                <w:szCs w:val="22"/>
              </w:rPr>
              <w:t>arrange</w:t>
            </w:r>
            <w:r w:rsidRPr="000D7063">
              <w:rPr>
                <w:sz w:val="22"/>
                <w:szCs w:val="22"/>
              </w:rPr>
              <w:t xml:space="preserve"> quality CPD for staff, responding to needs identified through skills audits. To enhance quality first teaching and levels of support.</w:t>
            </w:r>
          </w:p>
          <w:p w14:paraId="06D3EA4A" w14:textId="77777777" w:rsidR="00F00C19" w:rsidRDefault="00F00C19">
            <w:pPr>
              <w:pStyle w:val="TableRow"/>
              <w:rPr>
                <w:b/>
                <w:bCs/>
                <w:sz w:val="22"/>
                <w:szCs w:val="22"/>
              </w:rPr>
            </w:pPr>
            <w:r w:rsidRPr="000D7063">
              <w:rPr>
                <w:b/>
                <w:bCs/>
                <w:sz w:val="22"/>
                <w:szCs w:val="22"/>
              </w:rPr>
              <w:t>£5,000</w:t>
            </w:r>
          </w:p>
          <w:p w14:paraId="5FB7A46A" w14:textId="77777777" w:rsidR="00523E57" w:rsidRDefault="00523E57">
            <w:pPr>
              <w:pStyle w:val="TableRow"/>
              <w:rPr>
                <w:b/>
                <w:bCs/>
                <w:sz w:val="22"/>
                <w:szCs w:val="22"/>
              </w:rPr>
            </w:pPr>
          </w:p>
          <w:p w14:paraId="2F6CC5CE" w14:textId="77777777" w:rsidR="00523E57" w:rsidRPr="00B82718" w:rsidRDefault="00523E57">
            <w:pPr>
              <w:pStyle w:val="TableRow"/>
              <w:rPr>
                <w:color w:val="4F81BD" w:themeColor="accent1"/>
                <w:sz w:val="22"/>
                <w:szCs w:val="22"/>
              </w:rPr>
            </w:pPr>
            <w:r w:rsidRPr="00B82718">
              <w:rPr>
                <w:color w:val="4F81BD" w:themeColor="accent1"/>
                <w:sz w:val="22"/>
                <w:szCs w:val="22"/>
              </w:rPr>
              <w:t xml:space="preserve">2024-2025: </w:t>
            </w:r>
          </w:p>
          <w:p w14:paraId="2A7D551A" w14:textId="2FE4C763" w:rsidR="00523E57" w:rsidRPr="000D7063" w:rsidRDefault="00B82718">
            <w:pPr>
              <w:pStyle w:val="TableRow"/>
              <w:rPr>
                <w:b/>
                <w:bCs/>
                <w:sz w:val="22"/>
                <w:szCs w:val="22"/>
              </w:rPr>
            </w:pPr>
            <w:r w:rsidRPr="00B82718">
              <w:rPr>
                <w:color w:val="4F81BD" w:themeColor="accent1"/>
                <w:sz w:val="22"/>
                <w:szCs w:val="22"/>
              </w:rPr>
              <w:t>£6,000- increased cost attributed to triad model of CPD introduced and additional teacher release time needed.</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35419" w14:textId="77777777" w:rsidR="00F76A68" w:rsidRPr="00555DF4" w:rsidRDefault="00F76A68" w:rsidP="00A46551">
            <w:pPr>
              <w:pStyle w:val="TableRowCentered"/>
              <w:tabs>
                <w:tab w:val="left" w:pos="936"/>
              </w:tabs>
              <w:jc w:val="left"/>
              <w:rPr>
                <w:sz w:val="22"/>
                <w:szCs w:val="22"/>
              </w:rPr>
            </w:pPr>
            <w:r w:rsidRPr="00555DF4">
              <w:rPr>
                <w:sz w:val="22"/>
                <w:szCs w:val="22"/>
              </w:rPr>
              <w:t xml:space="preserve">EEF research states that evidence indicates that high quality teaching is the most important lever schools </w:t>
            </w:r>
            <w:proofErr w:type="gramStart"/>
            <w:r w:rsidRPr="00555DF4">
              <w:rPr>
                <w:sz w:val="22"/>
                <w:szCs w:val="22"/>
              </w:rPr>
              <w:t>have to</w:t>
            </w:r>
            <w:proofErr w:type="gramEnd"/>
            <w:r w:rsidRPr="00555DF4">
              <w:rPr>
                <w:sz w:val="22"/>
                <w:szCs w:val="22"/>
              </w:rPr>
              <w:t xml:space="preserve"> improve pupil attainment, including for disadvantaged pupils. Schools should focus on building teacher knowledge and pedagogical expertise, curriculum development, and the purposeful use of assessment. </w:t>
            </w:r>
          </w:p>
          <w:p w14:paraId="3CAD89CF" w14:textId="77777777" w:rsidR="00E66558" w:rsidRDefault="00C05245" w:rsidP="00A46551">
            <w:pPr>
              <w:pStyle w:val="TableRowCentered"/>
              <w:tabs>
                <w:tab w:val="left" w:pos="936"/>
              </w:tabs>
              <w:jc w:val="left"/>
              <w:rPr>
                <w:rStyle w:val="Hyperlink"/>
                <w:sz w:val="22"/>
                <w:szCs w:val="22"/>
              </w:rPr>
            </w:pPr>
            <w:hyperlink r:id="rId11" w:history="1">
              <w:r w:rsidR="00F76A68" w:rsidRPr="00555DF4">
                <w:rPr>
                  <w:rStyle w:val="Hyperlink"/>
                  <w:sz w:val="22"/>
                  <w:szCs w:val="22"/>
                </w:rPr>
                <w:t>EBE Great Teaching Toolkit Evidence Review</w:t>
              </w:r>
            </w:hyperlink>
          </w:p>
          <w:p w14:paraId="74CEB8B3" w14:textId="77777777" w:rsidR="003264CF" w:rsidRDefault="003264CF" w:rsidP="00A46551">
            <w:pPr>
              <w:pStyle w:val="TableRowCentered"/>
              <w:tabs>
                <w:tab w:val="left" w:pos="936"/>
              </w:tabs>
              <w:jc w:val="left"/>
              <w:rPr>
                <w:rStyle w:val="Hyperlink"/>
                <w:szCs w:val="22"/>
              </w:rPr>
            </w:pPr>
          </w:p>
          <w:p w14:paraId="129806D0" w14:textId="77777777" w:rsidR="003264CF" w:rsidRPr="003264CF" w:rsidRDefault="003264CF" w:rsidP="00A46551">
            <w:pPr>
              <w:pStyle w:val="TableRowCentered"/>
              <w:tabs>
                <w:tab w:val="left" w:pos="936"/>
              </w:tabs>
              <w:jc w:val="left"/>
              <w:rPr>
                <w:color w:val="0070C0"/>
                <w:sz w:val="20"/>
              </w:rPr>
            </w:pPr>
            <w:r w:rsidRPr="003264CF">
              <w:rPr>
                <w:color w:val="0070C0"/>
                <w:sz w:val="20"/>
              </w:rPr>
              <w:t>2024-2025 Update: CPD will continue this year focusing on developing:</w:t>
            </w:r>
          </w:p>
          <w:p w14:paraId="74FD7486" w14:textId="77777777" w:rsidR="003264CF" w:rsidRPr="003264CF" w:rsidRDefault="003264CF" w:rsidP="003264CF">
            <w:pPr>
              <w:pStyle w:val="TableRowCentered"/>
              <w:numPr>
                <w:ilvl w:val="0"/>
                <w:numId w:val="18"/>
              </w:numPr>
              <w:tabs>
                <w:tab w:val="left" w:pos="936"/>
              </w:tabs>
              <w:jc w:val="left"/>
              <w:rPr>
                <w:color w:val="0070C0"/>
                <w:sz w:val="20"/>
              </w:rPr>
            </w:pPr>
            <w:r w:rsidRPr="003264CF">
              <w:rPr>
                <w:color w:val="0070C0"/>
                <w:sz w:val="20"/>
              </w:rPr>
              <w:t xml:space="preserve">teacher knowledge of reading development and creating a reading for pleasure culture </w:t>
            </w:r>
          </w:p>
          <w:p w14:paraId="77A2C026" w14:textId="77777777" w:rsidR="003264CF" w:rsidRPr="003264CF" w:rsidRDefault="003264CF" w:rsidP="003264CF">
            <w:pPr>
              <w:pStyle w:val="TableRowCentered"/>
              <w:numPr>
                <w:ilvl w:val="0"/>
                <w:numId w:val="18"/>
              </w:numPr>
              <w:tabs>
                <w:tab w:val="left" w:pos="936"/>
              </w:tabs>
              <w:jc w:val="left"/>
              <w:rPr>
                <w:color w:val="0070C0"/>
                <w:sz w:val="20"/>
              </w:rPr>
            </w:pPr>
            <w:r w:rsidRPr="003264CF">
              <w:rPr>
                <w:color w:val="0070C0"/>
                <w:sz w:val="20"/>
              </w:rPr>
              <w:t xml:space="preserve"> reasoning and problem solving in mathematics</w:t>
            </w:r>
          </w:p>
          <w:p w14:paraId="68C8A858" w14:textId="77777777" w:rsidR="003264CF" w:rsidRPr="002F41DD" w:rsidRDefault="003264CF" w:rsidP="003264CF">
            <w:pPr>
              <w:pStyle w:val="TableRowCentered"/>
              <w:numPr>
                <w:ilvl w:val="0"/>
                <w:numId w:val="18"/>
              </w:numPr>
              <w:tabs>
                <w:tab w:val="left" w:pos="936"/>
              </w:tabs>
              <w:jc w:val="left"/>
              <w:rPr>
                <w:sz w:val="22"/>
                <w:szCs w:val="22"/>
              </w:rPr>
            </w:pPr>
            <w:r w:rsidRPr="003264CF">
              <w:rPr>
                <w:color w:val="0070C0"/>
                <w:sz w:val="20"/>
              </w:rPr>
              <w:t>Embedding a consistent approach to teaching writing across school</w:t>
            </w:r>
          </w:p>
          <w:p w14:paraId="5DE0BBF1" w14:textId="2B3DD3B9" w:rsidR="002F41DD" w:rsidRPr="002F41DD" w:rsidRDefault="002F41DD" w:rsidP="003264CF">
            <w:pPr>
              <w:pStyle w:val="TableRowCentered"/>
              <w:numPr>
                <w:ilvl w:val="0"/>
                <w:numId w:val="18"/>
              </w:numPr>
              <w:tabs>
                <w:tab w:val="left" w:pos="936"/>
              </w:tabs>
              <w:jc w:val="left"/>
              <w:rPr>
                <w:color w:val="0070C0"/>
                <w:sz w:val="20"/>
              </w:rPr>
            </w:pPr>
            <w:r w:rsidRPr="002F41DD">
              <w:rPr>
                <w:color w:val="0070C0"/>
                <w:sz w:val="20"/>
              </w:rPr>
              <w:t>Formative assessment practice to support learning and good progress for all.</w:t>
            </w:r>
          </w:p>
          <w:p w14:paraId="2A7D551B" w14:textId="0EDF597D" w:rsidR="003264CF" w:rsidRPr="00555DF4" w:rsidRDefault="003264CF" w:rsidP="002F41DD">
            <w:pPr>
              <w:pStyle w:val="TableRowCentered"/>
              <w:tabs>
                <w:tab w:val="left" w:pos="936"/>
              </w:tabs>
              <w:jc w:val="left"/>
              <w:rPr>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52D6B84" w:rsidR="00E66558" w:rsidRPr="009F3048" w:rsidRDefault="00555DF4">
            <w:pPr>
              <w:pStyle w:val="TableRowCentered"/>
              <w:jc w:val="left"/>
              <w:rPr>
                <w:sz w:val="22"/>
                <w:szCs w:val="22"/>
              </w:rPr>
            </w:pPr>
            <w:r>
              <w:rPr>
                <w:sz w:val="22"/>
                <w:szCs w:val="22"/>
              </w:rPr>
              <w:t>1-6</w:t>
            </w:r>
          </w:p>
        </w:tc>
      </w:tr>
      <w:tr w:rsidR="00A46551" w14:paraId="2A7D5521" w14:textId="77777777" w:rsidTr="00A46551">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5D556" w14:textId="77777777" w:rsidR="00E66558" w:rsidRDefault="00A46551">
            <w:pPr>
              <w:pStyle w:val="TableRow"/>
              <w:rPr>
                <w:sz w:val="22"/>
                <w:szCs w:val="22"/>
              </w:rPr>
            </w:pPr>
            <w:r w:rsidRPr="00555DF4">
              <w:rPr>
                <w:sz w:val="22"/>
                <w:szCs w:val="22"/>
              </w:rPr>
              <w:t>Assessment and Tracking Purchase of nationally benchmarked standardised diagnostic assessments (NFER</w:t>
            </w:r>
            <w:r w:rsidRPr="000D7063">
              <w:rPr>
                <w:sz w:val="22"/>
                <w:szCs w:val="22"/>
              </w:rPr>
              <w:t xml:space="preserve">) </w:t>
            </w:r>
            <w:r w:rsidRPr="00641F0D">
              <w:rPr>
                <w:b/>
                <w:bCs/>
                <w:sz w:val="22"/>
                <w:szCs w:val="22"/>
              </w:rPr>
              <w:t>£</w:t>
            </w:r>
            <w:r w:rsidR="000D7063" w:rsidRPr="00641F0D">
              <w:rPr>
                <w:b/>
                <w:bCs/>
                <w:sz w:val="22"/>
                <w:szCs w:val="22"/>
              </w:rPr>
              <w:t>1,000</w:t>
            </w:r>
            <w:r w:rsidR="000D7063" w:rsidRPr="000D7063">
              <w:rPr>
                <w:sz w:val="22"/>
                <w:szCs w:val="22"/>
              </w:rPr>
              <w:t xml:space="preserve"> </w:t>
            </w:r>
            <w:r w:rsidRPr="000D7063">
              <w:rPr>
                <w:sz w:val="22"/>
                <w:szCs w:val="22"/>
              </w:rPr>
              <w:t>Subscription to ‘</w:t>
            </w:r>
            <w:proofErr w:type="spellStart"/>
            <w:r w:rsidRPr="000D7063">
              <w:rPr>
                <w:sz w:val="22"/>
                <w:szCs w:val="22"/>
              </w:rPr>
              <w:t>OTrack</w:t>
            </w:r>
            <w:proofErr w:type="spellEnd"/>
            <w:r w:rsidRPr="000D7063">
              <w:rPr>
                <w:sz w:val="22"/>
                <w:szCs w:val="22"/>
              </w:rPr>
              <w:t xml:space="preserve">’ </w:t>
            </w:r>
            <w:r w:rsidRPr="00641F0D">
              <w:rPr>
                <w:b/>
                <w:bCs/>
                <w:sz w:val="22"/>
                <w:szCs w:val="22"/>
              </w:rPr>
              <w:t>£</w:t>
            </w:r>
            <w:r w:rsidR="000D7063" w:rsidRPr="00641F0D">
              <w:rPr>
                <w:b/>
                <w:bCs/>
                <w:sz w:val="22"/>
                <w:szCs w:val="22"/>
              </w:rPr>
              <w:t>1,500</w:t>
            </w:r>
            <w:r w:rsidRPr="000D7063">
              <w:rPr>
                <w:sz w:val="22"/>
                <w:szCs w:val="22"/>
              </w:rPr>
              <w:t xml:space="preserve"> for robust tracking</w:t>
            </w:r>
            <w:r w:rsidRPr="00555DF4">
              <w:rPr>
                <w:sz w:val="22"/>
                <w:szCs w:val="22"/>
              </w:rPr>
              <w:t xml:space="preserve"> of all quantitative data</w:t>
            </w:r>
          </w:p>
          <w:p w14:paraId="038DD1D0" w14:textId="77777777" w:rsidR="00B82718" w:rsidRDefault="00B82718">
            <w:pPr>
              <w:pStyle w:val="TableRow"/>
              <w:rPr>
                <w:sz w:val="22"/>
                <w:szCs w:val="22"/>
              </w:rPr>
            </w:pPr>
          </w:p>
          <w:p w14:paraId="5A66467D" w14:textId="77777777" w:rsidR="00B82718" w:rsidRPr="00B82718" w:rsidRDefault="00B82718">
            <w:pPr>
              <w:pStyle w:val="TableRow"/>
              <w:rPr>
                <w:color w:val="4F81BD" w:themeColor="accent1"/>
                <w:sz w:val="22"/>
                <w:szCs w:val="22"/>
              </w:rPr>
            </w:pPr>
            <w:r w:rsidRPr="00B82718">
              <w:rPr>
                <w:color w:val="4F81BD" w:themeColor="accent1"/>
                <w:sz w:val="22"/>
                <w:szCs w:val="22"/>
              </w:rPr>
              <w:t xml:space="preserve">2024-205: </w:t>
            </w:r>
          </w:p>
          <w:p w14:paraId="1818620F" w14:textId="77777777" w:rsidR="00B82718" w:rsidRPr="00B82718" w:rsidRDefault="00B82718">
            <w:pPr>
              <w:pStyle w:val="TableRow"/>
              <w:rPr>
                <w:color w:val="4F81BD" w:themeColor="accent1"/>
                <w:sz w:val="22"/>
                <w:szCs w:val="22"/>
              </w:rPr>
            </w:pPr>
            <w:r w:rsidRPr="00B82718">
              <w:rPr>
                <w:color w:val="4F81BD" w:themeColor="accent1"/>
                <w:sz w:val="22"/>
                <w:szCs w:val="22"/>
              </w:rPr>
              <w:t xml:space="preserve">NFER Tests- £1,815 </w:t>
            </w:r>
          </w:p>
          <w:p w14:paraId="0DC5FA55" w14:textId="77777777" w:rsidR="00B82718" w:rsidRDefault="00B82718">
            <w:pPr>
              <w:pStyle w:val="TableRow"/>
              <w:rPr>
                <w:color w:val="4F81BD" w:themeColor="accent1"/>
                <w:sz w:val="22"/>
                <w:szCs w:val="22"/>
              </w:rPr>
            </w:pPr>
            <w:r w:rsidRPr="00B82718">
              <w:rPr>
                <w:color w:val="4F81BD" w:themeColor="accent1"/>
                <w:sz w:val="22"/>
                <w:szCs w:val="22"/>
              </w:rPr>
              <w:t>Juniper subscription- £1,911</w:t>
            </w:r>
          </w:p>
          <w:p w14:paraId="7BCE4539" w14:textId="77777777" w:rsidR="00B82718" w:rsidRDefault="00B82718">
            <w:pPr>
              <w:pStyle w:val="TableRow"/>
              <w:rPr>
                <w:color w:val="4F81BD" w:themeColor="accent1"/>
                <w:sz w:val="22"/>
                <w:szCs w:val="22"/>
              </w:rPr>
            </w:pPr>
            <w:r>
              <w:rPr>
                <w:color w:val="4F81BD" w:themeColor="accent1"/>
                <w:sz w:val="22"/>
                <w:szCs w:val="22"/>
              </w:rPr>
              <w:t xml:space="preserve">Purchase of Salford Reading Age assessments: £300 </w:t>
            </w:r>
          </w:p>
          <w:p w14:paraId="45CF1C5A" w14:textId="77777777" w:rsidR="00B82718" w:rsidRPr="00B82718" w:rsidRDefault="00B82718">
            <w:pPr>
              <w:pStyle w:val="TableRow"/>
              <w:rPr>
                <w:color w:val="4F81BD" w:themeColor="accent1"/>
                <w:sz w:val="22"/>
                <w:szCs w:val="22"/>
              </w:rPr>
            </w:pPr>
            <w:r w:rsidRPr="00B82718">
              <w:rPr>
                <w:color w:val="4F81BD" w:themeColor="accent1"/>
                <w:sz w:val="22"/>
                <w:szCs w:val="22"/>
              </w:rPr>
              <w:t xml:space="preserve">Subscriptions to </w:t>
            </w:r>
            <w:proofErr w:type="spellStart"/>
            <w:r w:rsidRPr="00B82718">
              <w:rPr>
                <w:color w:val="4F81BD" w:themeColor="accent1"/>
                <w:sz w:val="22"/>
                <w:szCs w:val="22"/>
              </w:rPr>
              <w:t>Edshed</w:t>
            </w:r>
            <w:proofErr w:type="spellEnd"/>
            <w:r w:rsidRPr="00B82718">
              <w:rPr>
                <w:color w:val="4F81BD" w:themeColor="accent1"/>
                <w:sz w:val="22"/>
                <w:szCs w:val="22"/>
              </w:rPr>
              <w:t xml:space="preserve"> and </w:t>
            </w:r>
            <w:proofErr w:type="spellStart"/>
            <w:r w:rsidRPr="00B82718">
              <w:rPr>
                <w:color w:val="4F81BD" w:themeColor="accent1"/>
                <w:sz w:val="22"/>
                <w:szCs w:val="22"/>
              </w:rPr>
              <w:t>TTRockstars</w:t>
            </w:r>
            <w:proofErr w:type="spellEnd"/>
            <w:r w:rsidRPr="00B82718">
              <w:rPr>
                <w:color w:val="4F81BD" w:themeColor="accent1"/>
                <w:sz w:val="22"/>
                <w:szCs w:val="22"/>
              </w:rPr>
              <w:t xml:space="preserve"> to closely </w:t>
            </w:r>
            <w:proofErr w:type="spellStart"/>
            <w:r w:rsidRPr="00B82718">
              <w:rPr>
                <w:color w:val="4F81BD" w:themeColor="accent1"/>
                <w:sz w:val="22"/>
                <w:szCs w:val="22"/>
              </w:rPr>
              <w:t>montor</w:t>
            </w:r>
            <w:proofErr w:type="spellEnd"/>
            <w:r w:rsidRPr="00B82718">
              <w:rPr>
                <w:color w:val="4F81BD" w:themeColor="accent1"/>
                <w:sz w:val="22"/>
                <w:szCs w:val="22"/>
              </w:rPr>
              <w:t xml:space="preserve"> progress in basic English and Maths skills: £1500</w:t>
            </w:r>
          </w:p>
          <w:p w14:paraId="77D69267" w14:textId="77777777" w:rsidR="00B82718" w:rsidRDefault="00B82718">
            <w:pPr>
              <w:pStyle w:val="TableRow"/>
              <w:rPr>
                <w:sz w:val="22"/>
                <w:szCs w:val="22"/>
              </w:rPr>
            </w:pPr>
          </w:p>
          <w:p w14:paraId="2A7D551E" w14:textId="5D071744" w:rsidR="00B82718" w:rsidRPr="00555DF4" w:rsidRDefault="00B82718">
            <w:pPr>
              <w:pStyle w:val="TableRow"/>
              <w:rPr>
                <w:sz w:val="22"/>
                <w:szCs w:val="22"/>
              </w:rPr>
            </w:pPr>
            <w:proofErr w:type="gramStart"/>
            <w:r w:rsidRPr="00B82718">
              <w:rPr>
                <w:color w:val="4F81BD" w:themeColor="accent1"/>
                <w:sz w:val="22"/>
                <w:szCs w:val="22"/>
              </w:rPr>
              <w:t>Total :</w:t>
            </w:r>
            <w:proofErr w:type="gramEnd"/>
            <w:r w:rsidRPr="00B82718">
              <w:rPr>
                <w:color w:val="4F81BD" w:themeColor="accent1"/>
                <w:sz w:val="22"/>
                <w:szCs w:val="22"/>
              </w:rPr>
              <w:t>£5,526</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2A4A4" w14:textId="77777777" w:rsidR="00E66558" w:rsidRPr="00555DF4" w:rsidRDefault="00A46551">
            <w:pPr>
              <w:pStyle w:val="TableRowCentered"/>
              <w:jc w:val="left"/>
              <w:rPr>
                <w:sz w:val="22"/>
                <w:szCs w:val="22"/>
              </w:rPr>
            </w:pPr>
            <w:r w:rsidRPr="00555DF4">
              <w:rPr>
                <w:sz w:val="22"/>
                <w:szCs w:val="22"/>
              </w:rPr>
              <w:t>NFER tests enable clear tracking of all pupils across the curriculum. This enables us to diagnose and address pupils who are falling behind on a summative basis. This information is then used within Pupil Progress meetings with teachers to investigate performance and set targets.</w:t>
            </w:r>
          </w:p>
          <w:p w14:paraId="2540631D" w14:textId="77777777" w:rsidR="00A46551" w:rsidRPr="00555DF4" w:rsidRDefault="00A46551">
            <w:pPr>
              <w:pStyle w:val="TableRowCentered"/>
              <w:jc w:val="left"/>
              <w:rPr>
                <w:sz w:val="22"/>
                <w:szCs w:val="22"/>
              </w:rPr>
            </w:pPr>
          </w:p>
          <w:p w14:paraId="55815E2B" w14:textId="77777777" w:rsidR="00A46551" w:rsidRDefault="00A46551">
            <w:pPr>
              <w:pStyle w:val="TableRowCentered"/>
              <w:jc w:val="left"/>
              <w:rPr>
                <w:sz w:val="22"/>
                <w:szCs w:val="22"/>
              </w:rPr>
            </w:pPr>
            <w:proofErr w:type="spellStart"/>
            <w:r w:rsidRPr="00555DF4">
              <w:rPr>
                <w:sz w:val="22"/>
                <w:szCs w:val="22"/>
              </w:rPr>
              <w:t>O</w:t>
            </w:r>
            <w:r w:rsidR="000D7063">
              <w:rPr>
                <w:sz w:val="22"/>
                <w:szCs w:val="22"/>
              </w:rPr>
              <w:t>T</w:t>
            </w:r>
            <w:r w:rsidRPr="00555DF4">
              <w:rPr>
                <w:sz w:val="22"/>
                <w:szCs w:val="22"/>
              </w:rPr>
              <w:t>track</w:t>
            </w:r>
            <w:proofErr w:type="spellEnd"/>
            <w:r w:rsidRPr="00555DF4">
              <w:rPr>
                <w:sz w:val="22"/>
                <w:szCs w:val="22"/>
              </w:rPr>
              <w:t xml:space="preserve"> allows for us to track the progress and attainment of key groups, including pupil premium children, identifying which groups need intervention </w:t>
            </w:r>
            <w:proofErr w:type="gramStart"/>
            <w:r w:rsidRPr="00555DF4">
              <w:rPr>
                <w:sz w:val="22"/>
                <w:szCs w:val="22"/>
              </w:rPr>
              <w:t>in order to</w:t>
            </w:r>
            <w:proofErr w:type="gramEnd"/>
            <w:r w:rsidRPr="00555DF4">
              <w:rPr>
                <w:sz w:val="22"/>
                <w:szCs w:val="22"/>
              </w:rPr>
              <w:t xml:space="preserve"> close any gaps in learning.</w:t>
            </w:r>
          </w:p>
          <w:p w14:paraId="23939B64" w14:textId="77777777" w:rsidR="00775CDB" w:rsidRDefault="00775CDB">
            <w:pPr>
              <w:pStyle w:val="TableRowCentered"/>
              <w:jc w:val="left"/>
              <w:rPr>
                <w:sz w:val="22"/>
                <w:szCs w:val="22"/>
              </w:rPr>
            </w:pPr>
          </w:p>
          <w:p w14:paraId="20C3D144" w14:textId="55285A34" w:rsidR="00775CDB" w:rsidRPr="00616558" w:rsidRDefault="00775CDB">
            <w:pPr>
              <w:pStyle w:val="TableRowCentered"/>
              <w:jc w:val="left"/>
              <w:rPr>
                <w:color w:val="auto"/>
                <w:sz w:val="20"/>
              </w:rPr>
            </w:pPr>
            <w:r w:rsidRPr="00616558">
              <w:rPr>
                <w:color w:val="auto"/>
                <w:sz w:val="20"/>
              </w:rPr>
              <w:t xml:space="preserve">2023-2024: </w:t>
            </w:r>
            <w:r w:rsidRPr="00616558">
              <w:rPr>
                <w:color w:val="auto"/>
                <w:sz w:val="18"/>
                <w:szCs w:val="18"/>
              </w:rPr>
              <w:t xml:space="preserve"> NFER tests were used successfully to benchmark progress and identify gaps in learning. </w:t>
            </w:r>
            <w:proofErr w:type="spellStart"/>
            <w:r w:rsidRPr="00616558">
              <w:rPr>
                <w:color w:val="auto"/>
                <w:sz w:val="18"/>
                <w:szCs w:val="18"/>
              </w:rPr>
              <w:t>Otrack</w:t>
            </w:r>
            <w:proofErr w:type="spellEnd"/>
            <w:r w:rsidRPr="00616558">
              <w:rPr>
                <w:color w:val="auto"/>
                <w:sz w:val="18"/>
                <w:szCs w:val="18"/>
              </w:rPr>
              <w:t xml:space="preserve"> provided information </w:t>
            </w:r>
            <w:r w:rsidR="00616558">
              <w:rPr>
                <w:color w:val="auto"/>
                <w:sz w:val="18"/>
                <w:szCs w:val="18"/>
              </w:rPr>
              <w:t>to track the progress and attainment of groups, in particular pupil premium children.</w:t>
            </w:r>
          </w:p>
          <w:p w14:paraId="144458AA" w14:textId="77777777" w:rsidR="002F41DD" w:rsidRDefault="002F41DD">
            <w:pPr>
              <w:pStyle w:val="TableRowCentered"/>
              <w:jc w:val="left"/>
              <w:rPr>
                <w:sz w:val="22"/>
                <w:szCs w:val="22"/>
              </w:rPr>
            </w:pPr>
          </w:p>
          <w:p w14:paraId="2A7D551F" w14:textId="3C571C82" w:rsidR="002F41DD" w:rsidRPr="002F41DD" w:rsidRDefault="002F41DD" w:rsidP="002F41DD">
            <w:pPr>
              <w:pStyle w:val="TableRowCentered"/>
              <w:jc w:val="left"/>
              <w:rPr>
                <w:color w:val="0070C0"/>
                <w:sz w:val="20"/>
              </w:rPr>
            </w:pPr>
            <w:r w:rsidRPr="003264CF">
              <w:rPr>
                <w:color w:val="0070C0"/>
                <w:sz w:val="20"/>
              </w:rPr>
              <w:t xml:space="preserve">2024-2025 </w:t>
            </w:r>
            <w:proofErr w:type="gramStart"/>
            <w:r w:rsidRPr="003264CF">
              <w:rPr>
                <w:color w:val="0070C0"/>
                <w:sz w:val="20"/>
              </w:rPr>
              <w:t>Update:</w:t>
            </w:r>
            <w:r>
              <w:rPr>
                <w:color w:val="0070C0"/>
                <w:sz w:val="20"/>
              </w:rPr>
              <w:t>.</w:t>
            </w:r>
            <w:proofErr w:type="gramEnd"/>
            <w:r>
              <w:rPr>
                <w:color w:val="0070C0"/>
                <w:sz w:val="20"/>
              </w:rPr>
              <w:t xml:space="preserve"> This year children will be tested termly using these assessments. </w:t>
            </w:r>
            <w:proofErr w:type="spellStart"/>
            <w:r>
              <w:rPr>
                <w:color w:val="0070C0"/>
                <w:sz w:val="20"/>
              </w:rPr>
              <w:t>OTrack</w:t>
            </w:r>
            <w:proofErr w:type="spellEnd"/>
            <w:r>
              <w:rPr>
                <w:color w:val="0070C0"/>
                <w:sz w:val="20"/>
              </w:rPr>
              <w:t xml:space="preserve"> will continue to be used as a tracking system.</w:t>
            </w:r>
            <w:r w:rsidR="00B82718">
              <w:rPr>
                <w:color w:val="0070C0"/>
                <w:sz w:val="20"/>
              </w:rPr>
              <w:t xml:space="preserve"> We have introduced </w:t>
            </w:r>
            <w:proofErr w:type="spellStart"/>
            <w:r w:rsidR="00B82718">
              <w:rPr>
                <w:color w:val="0070C0"/>
                <w:sz w:val="20"/>
              </w:rPr>
              <w:t>firther</w:t>
            </w:r>
            <w:proofErr w:type="spellEnd"/>
            <w:r w:rsidR="00B82718">
              <w:rPr>
                <w:color w:val="0070C0"/>
                <w:sz w:val="20"/>
              </w:rPr>
              <w:t xml:space="preserve"> diagnostic assessment tools to closely tract progress of PP children and quickly identify those who need additional intervention.</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10CB1C4" w:rsidR="00E66558" w:rsidRPr="009F3048" w:rsidRDefault="00A46551">
            <w:pPr>
              <w:pStyle w:val="TableRowCentered"/>
              <w:jc w:val="left"/>
              <w:rPr>
                <w:sz w:val="22"/>
                <w:szCs w:val="22"/>
              </w:rPr>
            </w:pPr>
            <w:r w:rsidRPr="009F3048">
              <w:rPr>
                <w:sz w:val="22"/>
                <w:szCs w:val="22"/>
              </w:rPr>
              <w:t xml:space="preserve">1-6 </w:t>
            </w:r>
          </w:p>
        </w:tc>
      </w:tr>
      <w:tr w:rsidR="00A46551" w14:paraId="3F962BBE" w14:textId="77777777" w:rsidTr="00A46551">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27904" w14:textId="77777777" w:rsidR="00A46551" w:rsidRPr="000D7063" w:rsidRDefault="00A46551">
            <w:pPr>
              <w:pStyle w:val="TableRow"/>
              <w:rPr>
                <w:sz w:val="22"/>
                <w:szCs w:val="22"/>
              </w:rPr>
            </w:pPr>
            <w:r w:rsidRPr="000D7063">
              <w:rPr>
                <w:sz w:val="22"/>
                <w:szCs w:val="22"/>
              </w:rPr>
              <w:lastRenderedPageBreak/>
              <w:t xml:space="preserve">Purchase of </w:t>
            </w:r>
            <w:r w:rsidR="00A84822" w:rsidRPr="000D7063">
              <w:rPr>
                <w:sz w:val="22"/>
                <w:szCs w:val="22"/>
              </w:rPr>
              <w:t>further resources to support school’s adopted</w:t>
            </w:r>
            <w:r w:rsidRPr="000D7063">
              <w:rPr>
                <w:sz w:val="22"/>
                <w:szCs w:val="22"/>
              </w:rPr>
              <w:t xml:space="preserve"> Systematic Synthetic Phonics programme to secure stronger phonics teaching for all pupils. (Little Wandle Revised Letters and Sounds)</w:t>
            </w:r>
          </w:p>
          <w:p w14:paraId="55272A3D" w14:textId="77777777" w:rsidR="00F00C19" w:rsidRDefault="00F00C19">
            <w:pPr>
              <w:pStyle w:val="TableRow"/>
              <w:rPr>
                <w:b/>
                <w:bCs/>
                <w:sz w:val="22"/>
                <w:szCs w:val="22"/>
              </w:rPr>
            </w:pPr>
            <w:r w:rsidRPr="000D7063">
              <w:rPr>
                <w:b/>
                <w:bCs/>
                <w:sz w:val="22"/>
                <w:szCs w:val="22"/>
              </w:rPr>
              <w:t>£</w:t>
            </w:r>
            <w:r w:rsidR="000D7063" w:rsidRPr="000D7063">
              <w:rPr>
                <w:b/>
                <w:bCs/>
                <w:sz w:val="22"/>
                <w:szCs w:val="22"/>
              </w:rPr>
              <w:t>6</w:t>
            </w:r>
            <w:r w:rsidRPr="000D7063">
              <w:rPr>
                <w:b/>
                <w:bCs/>
                <w:sz w:val="22"/>
                <w:szCs w:val="22"/>
              </w:rPr>
              <w:t>00</w:t>
            </w:r>
          </w:p>
          <w:p w14:paraId="5032A0AC" w14:textId="77777777" w:rsidR="00B82718" w:rsidRDefault="00B82718">
            <w:pPr>
              <w:pStyle w:val="TableRow"/>
              <w:rPr>
                <w:b/>
                <w:bCs/>
                <w:sz w:val="22"/>
                <w:szCs w:val="22"/>
              </w:rPr>
            </w:pPr>
          </w:p>
          <w:p w14:paraId="576B1726" w14:textId="77777777" w:rsidR="00B82718" w:rsidRPr="00B82718" w:rsidRDefault="00B82718">
            <w:pPr>
              <w:pStyle w:val="TableRow"/>
              <w:rPr>
                <w:color w:val="4F81BD" w:themeColor="accent1"/>
                <w:sz w:val="22"/>
                <w:szCs w:val="22"/>
              </w:rPr>
            </w:pPr>
            <w:r w:rsidRPr="00B82718">
              <w:rPr>
                <w:color w:val="4F81BD" w:themeColor="accent1"/>
                <w:sz w:val="22"/>
                <w:szCs w:val="22"/>
              </w:rPr>
              <w:t xml:space="preserve">2024-2025: </w:t>
            </w:r>
          </w:p>
          <w:p w14:paraId="69AD5B20" w14:textId="77777777" w:rsidR="00B82718" w:rsidRPr="00B82718" w:rsidRDefault="00B82718">
            <w:pPr>
              <w:pStyle w:val="TableRow"/>
              <w:rPr>
                <w:color w:val="4F81BD" w:themeColor="accent1"/>
                <w:sz w:val="22"/>
                <w:szCs w:val="22"/>
              </w:rPr>
            </w:pPr>
            <w:r w:rsidRPr="00B82718">
              <w:rPr>
                <w:color w:val="4F81BD" w:themeColor="accent1"/>
                <w:sz w:val="22"/>
                <w:szCs w:val="22"/>
              </w:rPr>
              <w:t xml:space="preserve">Little Wandle Resources: £600 </w:t>
            </w:r>
          </w:p>
          <w:p w14:paraId="6E0CC9B7" w14:textId="77777777" w:rsidR="00B82718" w:rsidRDefault="00B82718">
            <w:pPr>
              <w:pStyle w:val="TableRow"/>
              <w:rPr>
                <w:color w:val="4F81BD" w:themeColor="accent1"/>
                <w:sz w:val="22"/>
                <w:szCs w:val="22"/>
              </w:rPr>
            </w:pPr>
            <w:r w:rsidRPr="00B82718">
              <w:rPr>
                <w:color w:val="4F81BD" w:themeColor="accent1"/>
                <w:sz w:val="22"/>
                <w:szCs w:val="22"/>
              </w:rPr>
              <w:t>Release time for phonics leader to deliver additional training and provide modelling and co-coaching to staff:</w:t>
            </w:r>
          </w:p>
          <w:p w14:paraId="180F1720" w14:textId="2E6183DF" w:rsidR="00B82718" w:rsidRPr="000D7063" w:rsidRDefault="00B82718">
            <w:pPr>
              <w:pStyle w:val="TableRow"/>
              <w:rPr>
                <w:sz w:val="22"/>
                <w:szCs w:val="22"/>
              </w:rPr>
            </w:pPr>
            <w:r w:rsidRPr="00B82718">
              <w:rPr>
                <w:color w:val="4F81BD" w:themeColor="accent1"/>
                <w:sz w:val="22"/>
                <w:szCs w:val="22"/>
              </w:rPr>
              <w:t>£ 1,500</w:t>
            </w:r>
            <w:r w:rsidRPr="00B82718">
              <w:rPr>
                <w:b/>
                <w:color w:val="4F81BD" w:themeColor="accent1"/>
                <w:sz w:val="22"/>
                <w:szCs w:val="22"/>
              </w:rPr>
              <w:t xml:space="preserve"> </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30F07" w14:textId="77777777" w:rsidR="00A46551" w:rsidRPr="00555DF4" w:rsidRDefault="00A46551">
            <w:pPr>
              <w:pStyle w:val="TableRowCentered"/>
              <w:jc w:val="left"/>
              <w:rPr>
                <w:sz w:val="22"/>
                <w:szCs w:val="22"/>
              </w:rPr>
            </w:pPr>
            <w:r w:rsidRPr="00555DF4">
              <w:rPr>
                <w:sz w:val="22"/>
                <w:szCs w:val="22"/>
              </w:rPr>
              <w:t xml:space="preserve">Phonics approaches have a strong evidence base that indicates a positive impact on the accuracy of word reading (though not necessarily comprehension), particularly for disadvantaged pupils: </w:t>
            </w:r>
          </w:p>
          <w:p w14:paraId="636A9045" w14:textId="77777777" w:rsidR="00A46551" w:rsidRPr="00555DF4" w:rsidRDefault="00A46551">
            <w:pPr>
              <w:pStyle w:val="TableRowCentered"/>
              <w:jc w:val="left"/>
              <w:rPr>
                <w:sz w:val="22"/>
                <w:szCs w:val="22"/>
              </w:rPr>
            </w:pPr>
          </w:p>
          <w:p w14:paraId="14CFAF37" w14:textId="21A929C4" w:rsidR="00A46551" w:rsidRDefault="00C05245">
            <w:pPr>
              <w:pStyle w:val="TableRowCentered"/>
              <w:jc w:val="left"/>
              <w:rPr>
                <w:sz w:val="22"/>
                <w:szCs w:val="22"/>
              </w:rPr>
            </w:pPr>
            <w:hyperlink r:id="rId12" w:history="1">
              <w:r w:rsidR="00A46551" w:rsidRPr="00555DF4">
                <w:rPr>
                  <w:rStyle w:val="Hyperlink"/>
                  <w:sz w:val="22"/>
                  <w:szCs w:val="22"/>
                </w:rPr>
                <w:t>EEF: Phonics</w:t>
              </w:r>
            </w:hyperlink>
            <w:r w:rsidR="00A46551" w:rsidRPr="00555DF4">
              <w:rPr>
                <w:sz w:val="22"/>
                <w:szCs w:val="22"/>
              </w:rPr>
              <w:t xml:space="preserve"> </w:t>
            </w:r>
          </w:p>
          <w:p w14:paraId="70094CF1" w14:textId="77777777" w:rsidR="00775CDB" w:rsidRDefault="00775CDB">
            <w:pPr>
              <w:pStyle w:val="TableRowCentered"/>
              <w:jc w:val="left"/>
              <w:rPr>
                <w:sz w:val="22"/>
                <w:szCs w:val="22"/>
              </w:rPr>
            </w:pPr>
          </w:p>
          <w:p w14:paraId="4B56B9DD" w14:textId="63426B85" w:rsidR="00775CDB" w:rsidRPr="00775CDB" w:rsidRDefault="00775CDB">
            <w:pPr>
              <w:pStyle w:val="TableRowCentered"/>
              <w:jc w:val="left"/>
              <w:rPr>
                <w:sz w:val="20"/>
              </w:rPr>
            </w:pPr>
            <w:r w:rsidRPr="00775CDB">
              <w:rPr>
                <w:sz w:val="20"/>
              </w:rPr>
              <w:t xml:space="preserve">2023-2024: Additional sound cards and reading books were purchased to ensure children were reading </w:t>
            </w:r>
            <w:proofErr w:type="spellStart"/>
            <w:r w:rsidRPr="00775CDB">
              <w:rPr>
                <w:sz w:val="20"/>
              </w:rPr>
              <w:t>boos</w:t>
            </w:r>
            <w:proofErr w:type="spellEnd"/>
            <w:r w:rsidRPr="00775CDB">
              <w:rPr>
                <w:sz w:val="20"/>
              </w:rPr>
              <w:t xml:space="preserve"> that matched their phonetic ability.</w:t>
            </w:r>
          </w:p>
          <w:p w14:paraId="306A9712" w14:textId="77777777" w:rsidR="00FA7400" w:rsidRDefault="00FA7400">
            <w:pPr>
              <w:pStyle w:val="TableRowCentered"/>
              <w:jc w:val="left"/>
              <w:rPr>
                <w:sz w:val="22"/>
                <w:szCs w:val="22"/>
              </w:rPr>
            </w:pPr>
          </w:p>
          <w:p w14:paraId="1D38FFF7" w14:textId="07906652" w:rsidR="00FA7400" w:rsidRDefault="00FA7400">
            <w:pPr>
              <w:pStyle w:val="TableRowCentered"/>
              <w:jc w:val="left"/>
              <w:rPr>
                <w:color w:val="0070C0"/>
                <w:sz w:val="18"/>
                <w:szCs w:val="18"/>
              </w:rPr>
            </w:pPr>
            <w:r w:rsidRPr="00FA7400">
              <w:rPr>
                <w:color w:val="0070C0"/>
                <w:sz w:val="18"/>
                <w:szCs w:val="18"/>
              </w:rPr>
              <w:t>2024-2025 Update: School is well resourced to deliver our phonics programme</w:t>
            </w:r>
            <w:r>
              <w:rPr>
                <w:color w:val="0070C0"/>
                <w:sz w:val="18"/>
                <w:szCs w:val="18"/>
              </w:rPr>
              <w:t xml:space="preserve"> including ‘Daily Keep Up’ sessions for bottom 20% of readers and those who are at risk of falling behind.</w:t>
            </w:r>
          </w:p>
          <w:p w14:paraId="4A83E28C" w14:textId="7B1C15E1" w:rsidR="00FA7400" w:rsidRPr="00775CDB" w:rsidRDefault="00FA7400" w:rsidP="00FA7400">
            <w:pPr>
              <w:pStyle w:val="TableRowCentered"/>
              <w:ind w:left="0"/>
              <w:jc w:val="left"/>
              <w:rPr>
                <w:color w:val="0070C0"/>
                <w:sz w:val="18"/>
                <w:szCs w:val="18"/>
              </w:rPr>
            </w:pPr>
            <w:r w:rsidRPr="00775CDB">
              <w:rPr>
                <w:color w:val="0070C0"/>
                <w:sz w:val="18"/>
                <w:szCs w:val="18"/>
              </w:rPr>
              <w:t>There will be a greater emphasis on support for staff this year through co-coaching and modelled lessons.</w:t>
            </w:r>
          </w:p>
          <w:p w14:paraId="15F6F694" w14:textId="364BCBA1" w:rsidR="00A46551" w:rsidRPr="00555DF4" w:rsidRDefault="00A46551">
            <w:pPr>
              <w:pStyle w:val="TableRowCentered"/>
              <w:jc w:val="left"/>
              <w:rPr>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E37F9" w14:textId="0464E5AB" w:rsidR="00A46551" w:rsidRPr="009F3048" w:rsidRDefault="000F57D0">
            <w:pPr>
              <w:pStyle w:val="TableRowCentered"/>
              <w:jc w:val="left"/>
              <w:rPr>
                <w:sz w:val="22"/>
                <w:szCs w:val="22"/>
              </w:rPr>
            </w:pPr>
            <w:r w:rsidRPr="009F3048">
              <w:rPr>
                <w:sz w:val="22"/>
                <w:szCs w:val="22"/>
              </w:rPr>
              <w:t>1,2,3,4,6</w:t>
            </w:r>
          </w:p>
        </w:tc>
      </w:tr>
      <w:tr w:rsidR="000F57D0" w14:paraId="699BD3B5" w14:textId="77777777" w:rsidTr="00A46551">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FC88" w14:textId="77777777" w:rsidR="000F57D0" w:rsidRPr="000D7063" w:rsidRDefault="00354CCD">
            <w:pPr>
              <w:pStyle w:val="TableRow"/>
              <w:rPr>
                <w:sz w:val="22"/>
                <w:szCs w:val="22"/>
              </w:rPr>
            </w:pPr>
            <w:r w:rsidRPr="000D7063">
              <w:rPr>
                <w:sz w:val="22"/>
                <w:szCs w:val="22"/>
              </w:rPr>
              <w:t>Employment</w:t>
            </w:r>
            <w:r w:rsidR="000F57D0" w:rsidRPr="000D7063">
              <w:rPr>
                <w:sz w:val="22"/>
                <w:szCs w:val="22"/>
              </w:rPr>
              <w:t xml:space="preserve"> of </w:t>
            </w:r>
            <w:r w:rsidRPr="000D7063">
              <w:rPr>
                <w:sz w:val="22"/>
                <w:szCs w:val="22"/>
              </w:rPr>
              <w:t xml:space="preserve">teachers to cover Subject Leadership release time for subject leaders </w:t>
            </w:r>
            <w:proofErr w:type="gramStart"/>
            <w:r w:rsidRPr="000D7063">
              <w:rPr>
                <w:sz w:val="22"/>
                <w:szCs w:val="22"/>
              </w:rPr>
              <w:t>in order to</w:t>
            </w:r>
            <w:proofErr w:type="gramEnd"/>
            <w:r w:rsidRPr="000D7063">
              <w:rPr>
                <w:sz w:val="22"/>
                <w:szCs w:val="22"/>
              </w:rPr>
              <w:t xml:space="preserve"> further develop our school curriculum</w:t>
            </w:r>
            <w:r w:rsidR="00F00C19" w:rsidRPr="000D7063">
              <w:rPr>
                <w:sz w:val="22"/>
                <w:szCs w:val="22"/>
              </w:rPr>
              <w:t>.</w:t>
            </w:r>
          </w:p>
          <w:p w14:paraId="4753037F" w14:textId="77777777" w:rsidR="00F00C19" w:rsidRDefault="00F00C19">
            <w:pPr>
              <w:pStyle w:val="TableRow"/>
              <w:rPr>
                <w:b/>
                <w:bCs/>
                <w:sz w:val="22"/>
                <w:szCs w:val="22"/>
              </w:rPr>
            </w:pPr>
            <w:r w:rsidRPr="000D7063">
              <w:rPr>
                <w:b/>
                <w:bCs/>
                <w:sz w:val="22"/>
                <w:szCs w:val="22"/>
              </w:rPr>
              <w:t>£6,000</w:t>
            </w:r>
          </w:p>
          <w:p w14:paraId="397FCA40" w14:textId="77777777" w:rsidR="00B82718" w:rsidRDefault="00B82718">
            <w:pPr>
              <w:pStyle w:val="TableRow"/>
              <w:rPr>
                <w:b/>
                <w:bCs/>
                <w:sz w:val="22"/>
                <w:szCs w:val="22"/>
              </w:rPr>
            </w:pPr>
          </w:p>
          <w:p w14:paraId="32ACE994" w14:textId="77777777" w:rsidR="00B82718" w:rsidRPr="00B82718" w:rsidRDefault="00B82718">
            <w:pPr>
              <w:pStyle w:val="TableRow"/>
              <w:rPr>
                <w:color w:val="4F81BD" w:themeColor="accent1"/>
                <w:sz w:val="22"/>
                <w:szCs w:val="22"/>
              </w:rPr>
            </w:pPr>
            <w:r w:rsidRPr="00B82718">
              <w:rPr>
                <w:color w:val="4F81BD" w:themeColor="accent1"/>
                <w:sz w:val="22"/>
                <w:szCs w:val="22"/>
              </w:rPr>
              <w:t xml:space="preserve">2024-2025: </w:t>
            </w:r>
          </w:p>
          <w:p w14:paraId="3854F67E" w14:textId="77777777" w:rsidR="00B82718" w:rsidRPr="00B82718" w:rsidRDefault="00B82718">
            <w:pPr>
              <w:pStyle w:val="TableRow"/>
              <w:rPr>
                <w:color w:val="4F81BD" w:themeColor="accent1"/>
                <w:sz w:val="22"/>
                <w:szCs w:val="22"/>
              </w:rPr>
            </w:pPr>
            <w:r w:rsidRPr="00B82718">
              <w:rPr>
                <w:color w:val="4F81BD" w:themeColor="accent1"/>
                <w:sz w:val="22"/>
                <w:szCs w:val="22"/>
              </w:rPr>
              <w:t>Release time for subject leaders £6,000</w:t>
            </w:r>
          </w:p>
          <w:p w14:paraId="2C0E6BA5" w14:textId="77777777" w:rsidR="00B82718" w:rsidRDefault="00B82718">
            <w:pPr>
              <w:pStyle w:val="TableRow"/>
              <w:rPr>
                <w:color w:val="4F81BD" w:themeColor="accent1"/>
                <w:sz w:val="22"/>
                <w:szCs w:val="22"/>
              </w:rPr>
            </w:pPr>
          </w:p>
          <w:p w14:paraId="65295E96" w14:textId="0118257A" w:rsidR="0064642A" w:rsidRPr="000D7063" w:rsidRDefault="0064642A">
            <w:pPr>
              <w:pStyle w:val="TableRow"/>
              <w:rPr>
                <w:b/>
                <w:bCs/>
                <w:sz w:val="22"/>
                <w:szCs w:val="22"/>
              </w:rPr>
            </w:pP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D1A36" w14:textId="77777777" w:rsidR="000F57D0" w:rsidRPr="00F00C19" w:rsidRDefault="00354CCD">
            <w:pPr>
              <w:pStyle w:val="TableRowCentered"/>
              <w:jc w:val="left"/>
              <w:rPr>
                <w:sz w:val="22"/>
                <w:szCs w:val="22"/>
              </w:rPr>
            </w:pPr>
            <w:r w:rsidRPr="00F00C19">
              <w:rPr>
                <w:sz w:val="22"/>
                <w:szCs w:val="22"/>
              </w:rPr>
              <w:t>Schools should focus on building teacher knowledge and pedagogical expertise, curriculum development, and the purposeful use of assessment.</w:t>
            </w:r>
          </w:p>
          <w:p w14:paraId="3A7B216A" w14:textId="77777777" w:rsidR="00354CCD" w:rsidRPr="00F00C19" w:rsidRDefault="00354CCD">
            <w:pPr>
              <w:pStyle w:val="TableRowCentered"/>
              <w:jc w:val="left"/>
              <w:rPr>
                <w:sz w:val="22"/>
                <w:szCs w:val="22"/>
              </w:rPr>
            </w:pPr>
          </w:p>
          <w:p w14:paraId="0147A0C9" w14:textId="77777777" w:rsidR="00354CCD" w:rsidRDefault="00C05245" w:rsidP="00354CCD">
            <w:pPr>
              <w:pStyle w:val="TableRowCentered"/>
              <w:ind w:left="0"/>
              <w:jc w:val="left"/>
              <w:rPr>
                <w:rStyle w:val="Hyperlink"/>
                <w:sz w:val="22"/>
                <w:szCs w:val="22"/>
              </w:rPr>
            </w:pPr>
            <w:hyperlink r:id="rId13" w:history="1">
              <w:r w:rsidR="00354CCD" w:rsidRPr="00F00C19">
                <w:rPr>
                  <w:rStyle w:val="Hyperlink"/>
                  <w:sz w:val="22"/>
                  <w:szCs w:val="22"/>
                </w:rPr>
                <w:t>EEF: Effective Professional Development</w:t>
              </w:r>
            </w:hyperlink>
          </w:p>
          <w:p w14:paraId="4051CA49" w14:textId="77777777" w:rsidR="00775CDB" w:rsidRDefault="00775CDB" w:rsidP="00354CCD">
            <w:pPr>
              <w:pStyle w:val="TableRowCentered"/>
              <w:ind w:left="0"/>
              <w:jc w:val="left"/>
              <w:rPr>
                <w:rStyle w:val="Hyperlink"/>
                <w:szCs w:val="22"/>
              </w:rPr>
            </w:pPr>
          </w:p>
          <w:p w14:paraId="100C7A04" w14:textId="1B0CB314" w:rsidR="00775CDB" w:rsidRPr="00775CDB" w:rsidRDefault="00775CDB" w:rsidP="00354CCD">
            <w:pPr>
              <w:pStyle w:val="TableRowCentered"/>
              <w:ind w:left="0"/>
              <w:jc w:val="left"/>
              <w:rPr>
                <w:rStyle w:val="Hyperlink"/>
                <w:color w:val="auto"/>
                <w:sz w:val="18"/>
                <w:szCs w:val="18"/>
                <w:u w:val="none"/>
              </w:rPr>
            </w:pPr>
            <w:r w:rsidRPr="00775CDB">
              <w:rPr>
                <w:rStyle w:val="Hyperlink"/>
                <w:color w:val="auto"/>
                <w:sz w:val="20"/>
                <w:szCs w:val="18"/>
                <w:u w:val="none"/>
              </w:rPr>
              <w:t xml:space="preserve">2023-2024: Each subject leader had the equivalent of 3-4 full days to develop their curriculum plans. This has </w:t>
            </w:r>
            <w:proofErr w:type="spellStart"/>
            <w:proofErr w:type="gramStart"/>
            <w:r w:rsidRPr="00775CDB">
              <w:rPr>
                <w:rStyle w:val="Hyperlink"/>
                <w:color w:val="auto"/>
                <w:sz w:val="20"/>
                <w:szCs w:val="18"/>
                <w:u w:val="none"/>
              </w:rPr>
              <w:t>lead</w:t>
            </w:r>
            <w:proofErr w:type="spellEnd"/>
            <w:proofErr w:type="gramEnd"/>
            <w:r w:rsidRPr="00775CDB">
              <w:rPr>
                <w:rStyle w:val="Hyperlink"/>
                <w:color w:val="auto"/>
                <w:sz w:val="20"/>
                <w:szCs w:val="18"/>
                <w:u w:val="none"/>
              </w:rPr>
              <w:t xml:space="preserve"> to a better sequenced and more coherent curriculum across the school.</w:t>
            </w:r>
          </w:p>
          <w:p w14:paraId="140388AC" w14:textId="77777777" w:rsidR="00FA7400" w:rsidRDefault="00FA7400" w:rsidP="00354CCD">
            <w:pPr>
              <w:pStyle w:val="TableRowCentered"/>
              <w:ind w:left="0"/>
              <w:jc w:val="left"/>
              <w:rPr>
                <w:rStyle w:val="Hyperlink"/>
                <w:sz w:val="22"/>
                <w:szCs w:val="22"/>
              </w:rPr>
            </w:pPr>
          </w:p>
          <w:p w14:paraId="3614CC27" w14:textId="77777777" w:rsidR="00FA7400" w:rsidRDefault="00FA7400" w:rsidP="00354CCD">
            <w:pPr>
              <w:pStyle w:val="TableRowCentered"/>
              <w:ind w:left="0"/>
              <w:jc w:val="left"/>
              <w:rPr>
                <w:color w:val="0070C0"/>
                <w:sz w:val="18"/>
                <w:szCs w:val="18"/>
              </w:rPr>
            </w:pPr>
            <w:r w:rsidRPr="00FA7400">
              <w:rPr>
                <w:color w:val="0070C0"/>
                <w:sz w:val="18"/>
                <w:szCs w:val="18"/>
              </w:rPr>
              <w:t>2024-2025 Update:</w:t>
            </w:r>
            <w:r>
              <w:rPr>
                <w:color w:val="0070C0"/>
                <w:sz w:val="18"/>
                <w:szCs w:val="18"/>
              </w:rPr>
              <w:t xml:space="preserve"> Subject leaders now have a clear intent for their subject area. Release time this year will focus on subject leaders monitoring and evaluating the impact of their curriculum area.</w:t>
            </w:r>
            <w:r w:rsidR="007E7148">
              <w:rPr>
                <w:color w:val="0070C0"/>
                <w:sz w:val="18"/>
                <w:szCs w:val="18"/>
              </w:rPr>
              <w:t xml:space="preserve"> </w:t>
            </w:r>
          </w:p>
          <w:p w14:paraId="3BA15AFF" w14:textId="77777777" w:rsidR="0064642A" w:rsidRDefault="0064642A" w:rsidP="00354CCD">
            <w:pPr>
              <w:pStyle w:val="TableRowCentered"/>
              <w:ind w:left="0"/>
              <w:jc w:val="left"/>
              <w:rPr>
                <w:color w:val="0070C0"/>
                <w:sz w:val="18"/>
                <w:szCs w:val="18"/>
              </w:rPr>
            </w:pPr>
          </w:p>
          <w:p w14:paraId="7F1E8F9B" w14:textId="7EE70E2F" w:rsidR="0064642A" w:rsidRPr="00F00C19" w:rsidRDefault="0064642A" w:rsidP="00354CCD">
            <w:pPr>
              <w:pStyle w:val="TableRowCentered"/>
              <w:ind w:left="0"/>
              <w:jc w:val="left"/>
              <w:rPr>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83BD2" w14:textId="73DF5D84" w:rsidR="000F57D0" w:rsidRPr="009F3048" w:rsidRDefault="00354CCD">
            <w:pPr>
              <w:pStyle w:val="TableRowCentered"/>
              <w:jc w:val="left"/>
              <w:rPr>
                <w:sz w:val="22"/>
                <w:szCs w:val="22"/>
              </w:rPr>
            </w:pPr>
            <w:r w:rsidRPr="00F00C19">
              <w:rPr>
                <w:sz w:val="22"/>
                <w:szCs w:val="22"/>
              </w:rPr>
              <w:t>1-6</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33A91F9F" w:rsidR="00E66558" w:rsidRDefault="009D71E8">
      <w:r>
        <w:t>Budgeted cost: £</w:t>
      </w:r>
      <w:r w:rsidR="003714CB">
        <w:t>1</w:t>
      </w:r>
      <w:r w:rsidR="00B26A88">
        <w:t>0</w:t>
      </w:r>
      <w:r w:rsidR="00DD084D">
        <w:t>1,923</w:t>
      </w:r>
    </w:p>
    <w:p w14:paraId="116E5FC3" w14:textId="1803190A" w:rsidR="00C24C08" w:rsidRPr="00C24C08" w:rsidRDefault="00C24C08">
      <w:pPr>
        <w:rPr>
          <w:color w:val="4F81BD" w:themeColor="accent1"/>
        </w:rPr>
      </w:pPr>
      <w:r w:rsidRPr="00C24C08">
        <w:rPr>
          <w:color w:val="4F81BD" w:themeColor="accent1"/>
        </w:rPr>
        <w:t>2024-2025: £1</w:t>
      </w:r>
      <w:r w:rsidR="000451CD">
        <w:rPr>
          <w:color w:val="4F81BD" w:themeColor="accent1"/>
        </w:rPr>
        <w:t>31</w:t>
      </w:r>
      <w:r w:rsidRPr="00C24C08">
        <w:rPr>
          <w:color w:val="4F81BD" w:themeColor="accent1"/>
        </w:rPr>
        <w:t>,</w:t>
      </w:r>
      <w:r w:rsidR="000451CD">
        <w:rPr>
          <w:color w:val="4F81BD" w:themeColor="accent1"/>
        </w:rPr>
        <w:t>549</w:t>
      </w:r>
    </w:p>
    <w:tbl>
      <w:tblPr>
        <w:tblW w:w="5000" w:type="pct"/>
        <w:tblLayout w:type="fixed"/>
        <w:tblCellMar>
          <w:left w:w="10" w:type="dxa"/>
          <w:right w:w="10" w:type="dxa"/>
        </w:tblCellMar>
        <w:tblLook w:val="04A0" w:firstRow="1" w:lastRow="0" w:firstColumn="1" w:lastColumn="0" w:noHBand="0" w:noVBand="1"/>
      </w:tblPr>
      <w:tblGrid>
        <w:gridCol w:w="3681"/>
        <w:gridCol w:w="4202"/>
        <w:gridCol w:w="1603"/>
      </w:tblGrid>
      <w:tr w:rsidR="00E66558" w14:paraId="2A7D5528" w14:textId="77777777" w:rsidTr="00D638BD">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6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D638BD">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5B509" w14:textId="77777777" w:rsidR="00E66558" w:rsidRDefault="00F35F2C">
            <w:pPr>
              <w:pStyle w:val="TableRow"/>
              <w:rPr>
                <w:sz w:val="22"/>
              </w:rPr>
            </w:pPr>
            <w:r>
              <w:rPr>
                <w:sz w:val="22"/>
              </w:rPr>
              <w:lastRenderedPageBreak/>
              <w:t xml:space="preserve">Use of NTP funding to help fund targeted intervention for Pupil Premium Children </w:t>
            </w:r>
          </w:p>
          <w:p w14:paraId="75D9F4A1" w14:textId="2DECE60E" w:rsidR="003F4158" w:rsidRPr="000D7063" w:rsidRDefault="000D7063">
            <w:pPr>
              <w:pStyle w:val="TableRow"/>
              <w:rPr>
                <w:b/>
                <w:bCs/>
                <w:sz w:val="22"/>
              </w:rPr>
            </w:pPr>
            <w:r w:rsidRPr="000D7063">
              <w:rPr>
                <w:b/>
                <w:bCs/>
                <w:sz w:val="22"/>
              </w:rPr>
              <w:t>£28</w:t>
            </w:r>
            <w:r w:rsidR="00E072CB">
              <w:rPr>
                <w:b/>
                <w:bCs/>
                <w:sz w:val="22"/>
              </w:rPr>
              <w:t>,</w:t>
            </w:r>
            <w:r w:rsidRPr="000D7063">
              <w:rPr>
                <w:b/>
                <w:bCs/>
                <w:sz w:val="22"/>
              </w:rPr>
              <w:t>923</w:t>
            </w:r>
          </w:p>
          <w:p w14:paraId="1FF2902A" w14:textId="791C642F" w:rsidR="003F4158" w:rsidRDefault="003F4158">
            <w:pPr>
              <w:pStyle w:val="TableRow"/>
              <w:rPr>
                <w:sz w:val="22"/>
              </w:rPr>
            </w:pPr>
            <w:r>
              <w:rPr>
                <w:sz w:val="22"/>
              </w:rPr>
              <w:t>Phonics interventions for Year 3 children who did not pass</w:t>
            </w:r>
            <w:r w:rsidR="000D7063">
              <w:rPr>
                <w:sz w:val="22"/>
              </w:rPr>
              <w:t xml:space="preserve"> Year 1</w:t>
            </w:r>
            <w:r>
              <w:rPr>
                <w:sz w:val="22"/>
              </w:rPr>
              <w:t xml:space="preserve"> phonics screening check </w:t>
            </w:r>
          </w:p>
          <w:p w14:paraId="510AEA63" w14:textId="77777777" w:rsidR="003F4158" w:rsidRDefault="000D7063">
            <w:pPr>
              <w:pStyle w:val="TableRow"/>
              <w:rPr>
                <w:b/>
                <w:bCs/>
                <w:sz w:val="22"/>
              </w:rPr>
            </w:pPr>
            <w:r w:rsidRPr="000D7063">
              <w:rPr>
                <w:b/>
                <w:bCs/>
                <w:sz w:val="22"/>
              </w:rPr>
              <w:t>£1,500</w:t>
            </w:r>
          </w:p>
          <w:p w14:paraId="59427E15" w14:textId="77777777" w:rsidR="007E7148" w:rsidRDefault="007E7148">
            <w:pPr>
              <w:pStyle w:val="TableRow"/>
              <w:rPr>
                <w:b/>
                <w:bCs/>
                <w:sz w:val="22"/>
              </w:rPr>
            </w:pPr>
          </w:p>
          <w:p w14:paraId="47E78C88" w14:textId="77777777" w:rsidR="00B61DCA" w:rsidRDefault="00B61DCA">
            <w:pPr>
              <w:pStyle w:val="TableRow"/>
              <w:rPr>
                <w:color w:val="0070C0"/>
                <w:sz w:val="22"/>
              </w:rPr>
            </w:pPr>
          </w:p>
          <w:p w14:paraId="42BCDEE9" w14:textId="77777777" w:rsidR="00B61DCA" w:rsidRDefault="00B61DCA">
            <w:pPr>
              <w:pStyle w:val="TableRow"/>
              <w:rPr>
                <w:color w:val="0070C0"/>
                <w:sz w:val="22"/>
              </w:rPr>
            </w:pPr>
          </w:p>
          <w:p w14:paraId="080D27E4" w14:textId="77777777" w:rsidR="00B61DCA" w:rsidRDefault="00B61DCA">
            <w:pPr>
              <w:pStyle w:val="TableRow"/>
              <w:rPr>
                <w:color w:val="0070C0"/>
                <w:sz w:val="22"/>
              </w:rPr>
            </w:pPr>
          </w:p>
          <w:p w14:paraId="107CAF29" w14:textId="77777777" w:rsidR="00B61DCA" w:rsidRDefault="00B61DCA">
            <w:pPr>
              <w:pStyle w:val="TableRow"/>
              <w:rPr>
                <w:color w:val="0070C0"/>
                <w:sz w:val="22"/>
              </w:rPr>
            </w:pPr>
          </w:p>
          <w:p w14:paraId="4BB77D38" w14:textId="77777777" w:rsidR="00B61DCA" w:rsidRDefault="00B61DCA">
            <w:pPr>
              <w:pStyle w:val="TableRow"/>
              <w:rPr>
                <w:color w:val="0070C0"/>
                <w:sz w:val="22"/>
              </w:rPr>
            </w:pPr>
          </w:p>
          <w:p w14:paraId="481FB350" w14:textId="77777777" w:rsidR="00B61DCA" w:rsidRDefault="00B61DCA">
            <w:pPr>
              <w:pStyle w:val="TableRow"/>
              <w:rPr>
                <w:color w:val="0070C0"/>
                <w:sz w:val="22"/>
              </w:rPr>
            </w:pPr>
          </w:p>
          <w:p w14:paraId="381AB78E" w14:textId="77777777" w:rsidR="00B61DCA" w:rsidRDefault="00B61DCA">
            <w:pPr>
              <w:pStyle w:val="TableRow"/>
              <w:rPr>
                <w:color w:val="0070C0"/>
                <w:sz w:val="22"/>
              </w:rPr>
            </w:pPr>
          </w:p>
          <w:p w14:paraId="3FA7CC73" w14:textId="032EDE81" w:rsidR="007E7148" w:rsidRPr="00B61DCA" w:rsidRDefault="007E7148">
            <w:pPr>
              <w:pStyle w:val="TableRow"/>
              <w:rPr>
                <w:color w:val="0070C0"/>
                <w:sz w:val="22"/>
              </w:rPr>
            </w:pPr>
            <w:r w:rsidRPr="00B61DCA">
              <w:rPr>
                <w:color w:val="0070C0"/>
                <w:sz w:val="22"/>
              </w:rPr>
              <w:t xml:space="preserve">Use of NTP Funding </w:t>
            </w:r>
            <w:r w:rsidR="00B61DCA" w:rsidRPr="00B61DCA">
              <w:rPr>
                <w:color w:val="0070C0"/>
                <w:sz w:val="22"/>
              </w:rPr>
              <w:t>and COVID Recovery Premium to support closing attainment gaps for PP children in in core subjects.</w:t>
            </w:r>
          </w:p>
          <w:p w14:paraId="2A7D5529" w14:textId="562A5374" w:rsidR="00B61DCA" w:rsidRPr="00B61DCA" w:rsidRDefault="00B61DCA">
            <w:pPr>
              <w:pStyle w:val="TableRow"/>
              <w:rPr>
                <w:b/>
                <w:bCs/>
                <w:szCs w:val="28"/>
              </w:rPr>
            </w:pPr>
            <w:r w:rsidRPr="00B61DCA">
              <w:rPr>
                <w:b/>
                <w:bCs/>
                <w:color w:val="0070C0"/>
                <w:sz w:val="22"/>
              </w:rPr>
              <w:t>£7,049</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0CF67" w14:textId="3970821C" w:rsidR="00555DF4" w:rsidRDefault="00555DF4">
            <w:pPr>
              <w:pStyle w:val="TableRowCentered"/>
              <w:jc w:val="left"/>
              <w:rPr>
                <w:sz w:val="22"/>
              </w:rPr>
            </w:pPr>
            <w:r>
              <w:rPr>
                <w:sz w:val="22"/>
              </w:rPr>
              <w:t xml:space="preserve">Providing one to one or small group tuition has proven to have a significant impact on learning.  </w:t>
            </w:r>
          </w:p>
          <w:p w14:paraId="2C3C2CC3" w14:textId="77777777" w:rsidR="00555DF4" w:rsidRDefault="00555DF4">
            <w:pPr>
              <w:pStyle w:val="TableRowCentered"/>
              <w:jc w:val="left"/>
              <w:rPr>
                <w:sz w:val="22"/>
              </w:rPr>
            </w:pPr>
          </w:p>
          <w:p w14:paraId="2B678616" w14:textId="77777777" w:rsidR="00E66558" w:rsidRDefault="00C05245">
            <w:pPr>
              <w:pStyle w:val="TableRowCentered"/>
              <w:jc w:val="left"/>
              <w:rPr>
                <w:sz w:val="22"/>
              </w:rPr>
            </w:pPr>
            <w:hyperlink r:id="rId14" w:history="1">
              <w:r w:rsidR="00555DF4" w:rsidRPr="00555DF4">
                <w:rPr>
                  <w:rStyle w:val="Hyperlink"/>
                  <w:sz w:val="22"/>
                </w:rPr>
                <w:t>EEF: One to One tuition</w:t>
              </w:r>
            </w:hyperlink>
            <w:r w:rsidR="00555DF4">
              <w:rPr>
                <w:sz w:val="22"/>
              </w:rPr>
              <w:t xml:space="preserve"> </w:t>
            </w:r>
          </w:p>
          <w:p w14:paraId="17DB811B" w14:textId="77777777" w:rsidR="00775CDB" w:rsidRDefault="00775CDB">
            <w:pPr>
              <w:pStyle w:val="TableRowCentered"/>
              <w:jc w:val="left"/>
              <w:rPr>
                <w:sz w:val="22"/>
              </w:rPr>
            </w:pPr>
          </w:p>
          <w:p w14:paraId="74367889" w14:textId="4D136F85" w:rsidR="00775CDB" w:rsidRDefault="00775CDB">
            <w:pPr>
              <w:pStyle w:val="TableRowCentered"/>
              <w:jc w:val="left"/>
              <w:rPr>
                <w:sz w:val="22"/>
              </w:rPr>
            </w:pPr>
            <w:r>
              <w:rPr>
                <w:sz w:val="22"/>
              </w:rPr>
              <w:t>2023-2024 impact</w:t>
            </w:r>
          </w:p>
          <w:p w14:paraId="79E30548" w14:textId="441A04C4" w:rsidR="00295C7C" w:rsidRPr="00295C7C" w:rsidRDefault="00295C7C" w:rsidP="00775CDB">
            <w:pPr>
              <w:pStyle w:val="TableRowCentered"/>
              <w:numPr>
                <w:ilvl w:val="0"/>
                <w:numId w:val="19"/>
              </w:numPr>
              <w:jc w:val="left"/>
              <w:rPr>
                <w:sz w:val="22"/>
              </w:rPr>
            </w:pPr>
            <w:r>
              <w:rPr>
                <w:color w:val="auto"/>
                <w:sz w:val="18"/>
                <w:szCs w:val="18"/>
              </w:rPr>
              <w:t>School used its full allocation of NTP funding to support 43 children across our Year 6 cohort through either 1:1 or small group tutoring.</w:t>
            </w:r>
          </w:p>
          <w:p w14:paraId="2D9D363E" w14:textId="154E93A5" w:rsidR="00775CDB" w:rsidRPr="00295C7C" w:rsidRDefault="00775CDB" w:rsidP="00295C7C">
            <w:pPr>
              <w:pStyle w:val="TableRowCentered"/>
              <w:numPr>
                <w:ilvl w:val="0"/>
                <w:numId w:val="19"/>
              </w:numPr>
              <w:jc w:val="left"/>
              <w:rPr>
                <w:sz w:val="22"/>
              </w:rPr>
            </w:pPr>
            <w:r w:rsidRPr="00295C7C">
              <w:rPr>
                <w:color w:val="auto"/>
                <w:sz w:val="18"/>
                <w:szCs w:val="18"/>
              </w:rPr>
              <w:t xml:space="preserve">12 children who did not pass Phonics Screening Check at the end of Year 1 received ‘Rapid Catchup’ intervention last year academic year. </w:t>
            </w:r>
            <w:proofErr w:type="gramStart"/>
            <w:r w:rsidRPr="00295C7C">
              <w:rPr>
                <w:color w:val="auto"/>
                <w:sz w:val="18"/>
                <w:szCs w:val="18"/>
              </w:rPr>
              <w:t>All of</w:t>
            </w:r>
            <w:proofErr w:type="gramEnd"/>
            <w:r w:rsidRPr="00295C7C">
              <w:rPr>
                <w:color w:val="auto"/>
                <w:sz w:val="18"/>
                <w:szCs w:val="18"/>
              </w:rPr>
              <w:t xml:space="preserve"> these children made progress and eight will continue to access programme in Year 4.</w:t>
            </w:r>
          </w:p>
          <w:p w14:paraId="5042F51F" w14:textId="77777777" w:rsidR="00FA7400" w:rsidRDefault="00FA7400">
            <w:pPr>
              <w:pStyle w:val="TableRowCentered"/>
              <w:jc w:val="left"/>
              <w:rPr>
                <w:sz w:val="22"/>
              </w:rPr>
            </w:pPr>
          </w:p>
          <w:p w14:paraId="4C12D37F" w14:textId="77777777" w:rsidR="00775CDB" w:rsidRDefault="00FA7400" w:rsidP="00775CDB">
            <w:pPr>
              <w:pStyle w:val="TableRowCentered"/>
              <w:jc w:val="left"/>
              <w:rPr>
                <w:color w:val="0070C0"/>
                <w:sz w:val="18"/>
                <w:szCs w:val="18"/>
              </w:rPr>
            </w:pPr>
            <w:r w:rsidRPr="00FA7400">
              <w:rPr>
                <w:color w:val="0070C0"/>
                <w:sz w:val="18"/>
                <w:szCs w:val="18"/>
              </w:rPr>
              <w:t>2024-2025 Update:</w:t>
            </w:r>
          </w:p>
          <w:p w14:paraId="51B2C69E" w14:textId="19FAE4BE" w:rsidR="00775CDB" w:rsidRDefault="007E7148" w:rsidP="00775CDB">
            <w:pPr>
              <w:pStyle w:val="TableRowCentered"/>
              <w:numPr>
                <w:ilvl w:val="0"/>
                <w:numId w:val="19"/>
              </w:numPr>
              <w:jc w:val="left"/>
              <w:rPr>
                <w:color w:val="0070C0"/>
                <w:sz w:val="18"/>
                <w:szCs w:val="16"/>
              </w:rPr>
            </w:pPr>
            <w:r>
              <w:rPr>
                <w:color w:val="0070C0"/>
                <w:sz w:val="18"/>
                <w:szCs w:val="16"/>
              </w:rPr>
              <w:t>PP Children across KS2, but particularly year 3 and 4, will access</w:t>
            </w:r>
            <w:r w:rsidR="00775CDB" w:rsidRPr="00775CDB">
              <w:rPr>
                <w:color w:val="0070C0"/>
                <w:sz w:val="18"/>
                <w:szCs w:val="16"/>
              </w:rPr>
              <w:t xml:space="preserve"> ‘Rapid Catchup’</w:t>
            </w:r>
            <w:r>
              <w:rPr>
                <w:color w:val="0070C0"/>
                <w:sz w:val="18"/>
                <w:szCs w:val="16"/>
              </w:rPr>
              <w:t xml:space="preserve"> phonics</w:t>
            </w:r>
            <w:r w:rsidR="00775CDB" w:rsidRPr="00775CDB">
              <w:rPr>
                <w:color w:val="0070C0"/>
                <w:sz w:val="18"/>
                <w:szCs w:val="16"/>
              </w:rPr>
              <w:t xml:space="preserve"> </w:t>
            </w:r>
            <w:r w:rsidRPr="00775CDB">
              <w:rPr>
                <w:color w:val="0070C0"/>
                <w:sz w:val="18"/>
                <w:szCs w:val="16"/>
              </w:rPr>
              <w:t>interventions</w:t>
            </w:r>
            <w:r w:rsidR="00775CDB" w:rsidRPr="00775CDB">
              <w:rPr>
                <w:color w:val="0070C0"/>
                <w:sz w:val="18"/>
                <w:szCs w:val="16"/>
              </w:rPr>
              <w:t xml:space="preserve"> this academic year.</w:t>
            </w:r>
            <w:r>
              <w:rPr>
                <w:color w:val="0070C0"/>
                <w:sz w:val="18"/>
                <w:szCs w:val="16"/>
              </w:rPr>
              <w:t xml:space="preserve"> LSAs will receive additional training to ensure this is delivered consistently and has maximum impact.</w:t>
            </w:r>
          </w:p>
          <w:p w14:paraId="51A4F8A3" w14:textId="0431D254" w:rsidR="00616558" w:rsidRPr="00775CDB" w:rsidRDefault="00616558" w:rsidP="00775CDB">
            <w:pPr>
              <w:pStyle w:val="TableRowCentered"/>
              <w:numPr>
                <w:ilvl w:val="0"/>
                <w:numId w:val="19"/>
              </w:numPr>
              <w:jc w:val="left"/>
              <w:rPr>
                <w:color w:val="0070C0"/>
                <w:sz w:val="18"/>
                <w:szCs w:val="16"/>
              </w:rPr>
            </w:pPr>
            <w:r>
              <w:rPr>
                <w:color w:val="0070C0"/>
                <w:sz w:val="18"/>
                <w:szCs w:val="16"/>
              </w:rPr>
              <w:t xml:space="preserve">NTP </w:t>
            </w:r>
            <w:r w:rsidR="007E7148">
              <w:rPr>
                <w:color w:val="0070C0"/>
                <w:sz w:val="18"/>
                <w:szCs w:val="16"/>
              </w:rPr>
              <w:t>funding ended in the academic year 2023-2024 with the amount allocated this year at £864. School will also access COVID Recovery Premium (£6,185) to support PP children in each phase through the purchase of online tutoring through Third Space Learning.</w:t>
            </w:r>
          </w:p>
          <w:p w14:paraId="2A7D552A" w14:textId="6B5492EB" w:rsidR="00842D9F" w:rsidRPr="00775CDB" w:rsidRDefault="00775CDB" w:rsidP="00775CDB">
            <w:pPr>
              <w:pStyle w:val="TableRowCentered"/>
              <w:jc w:val="left"/>
              <w:rPr>
                <w:sz w:val="22"/>
              </w:rPr>
            </w:pPr>
            <w:r w:rsidRPr="00775CDB">
              <w:rPr>
                <w:color w:val="0070C0"/>
                <w:sz w:val="18"/>
                <w:szCs w:val="18"/>
              </w:rPr>
              <w:t>.</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839C40B" w:rsidR="00E66558" w:rsidRDefault="00F35F2C">
            <w:pPr>
              <w:pStyle w:val="TableRowCentered"/>
              <w:jc w:val="left"/>
              <w:rPr>
                <w:sz w:val="22"/>
              </w:rPr>
            </w:pPr>
            <w:r>
              <w:rPr>
                <w:sz w:val="22"/>
              </w:rPr>
              <w:t>1-4</w:t>
            </w:r>
          </w:p>
        </w:tc>
      </w:tr>
      <w:tr w:rsidR="00E66558" w14:paraId="2A7D5530" w14:textId="77777777" w:rsidTr="00D638BD">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BA1BC" w14:textId="77777777" w:rsidR="00E66558" w:rsidRDefault="00354CCD">
            <w:pPr>
              <w:pStyle w:val="TableRow"/>
              <w:rPr>
                <w:b/>
                <w:bCs/>
                <w:sz w:val="22"/>
              </w:rPr>
            </w:pPr>
            <w:r w:rsidRPr="00530B90">
              <w:rPr>
                <w:sz w:val="22"/>
              </w:rPr>
              <w:t xml:space="preserve">Reading plus – fund the online intervention that allows all KS2 pupils to access a targeted reading intervention to give personalised support. </w:t>
            </w:r>
            <w:r w:rsidRPr="000D7063">
              <w:rPr>
                <w:b/>
                <w:bCs/>
                <w:sz w:val="22"/>
              </w:rPr>
              <w:t>£</w:t>
            </w:r>
            <w:r w:rsidR="00B00198" w:rsidRPr="000D7063">
              <w:rPr>
                <w:b/>
                <w:bCs/>
                <w:sz w:val="22"/>
              </w:rPr>
              <w:t>9,000</w:t>
            </w:r>
          </w:p>
          <w:p w14:paraId="1515577C" w14:textId="77777777" w:rsidR="00B61DCA" w:rsidRDefault="00B61DCA">
            <w:pPr>
              <w:pStyle w:val="TableRow"/>
              <w:rPr>
                <w:b/>
                <w:bCs/>
                <w:sz w:val="22"/>
              </w:rPr>
            </w:pPr>
          </w:p>
          <w:p w14:paraId="55F8D182" w14:textId="0274A9C2" w:rsidR="00B61DCA" w:rsidRDefault="00B61DCA">
            <w:pPr>
              <w:pStyle w:val="TableRow"/>
              <w:rPr>
                <w:color w:val="0070C0"/>
                <w:sz w:val="20"/>
                <w:szCs w:val="22"/>
              </w:rPr>
            </w:pPr>
            <w:r w:rsidRPr="005C3BA0">
              <w:rPr>
                <w:color w:val="0070C0"/>
                <w:sz w:val="20"/>
                <w:szCs w:val="22"/>
              </w:rPr>
              <w:t xml:space="preserve">2024-2025: Reading plus subscription ended due to lack of engagement. This money will be used to provide children with additional reading for pleasure books to access alongside their </w:t>
            </w:r>
            <w:r w:rsidR="005C3BA0" w:rsidRPr="005C3BA0">
              <w:rPr>
                <w:color w:val="0070C0"/>
                <w:sz w:val="20"/>
                <w:szCs w:val="22"/>
              </w:rPr>
              <w:t>reading ability book.</w:t>
            </w:r>
          </w:p>
          <w:p w14:paraId="6902469C" w14:textId="62234FC6" w:rsidR="0064642A" w:rsidRPr="005C3BA0" w:rsidRDefault="0064642A">
            <w:pPr>
              <w:pStyle w:val="TableRow"/>
              <w:rPr>
                <w:color w:val="0070C0"/>
                <w:sz w:val="20"/>
                <w:szCs w:val="22"/>
              </w:rPr>
            </w:pPr>
            <w:r>
              <w:rPr>
                <w:color w:val="0070C0"/>
                <w:sz w:val="20"/>
                <w:szCs w:val="22"/>
              </w:rPr>
              <w:t>£9,000</w:t>
            </w:r>
          </w:p>
          <w:p w14:paraId="365CFB6B" w14:textId="77777777" w:rsidR="00B61DCA" w:rsidRDefault="00B61DCA">
            <w:pPr>
              <w:pStyle w:val="TableRow"/>
              <w:rPr>
                <w:b/>
                <w:bCs/>
                <w:sz w:val="22"/>
              </w:rPr>
            </w:pPr>
          </w:p>
          <w:p w14:paraId="2A7D552D" w14:textId="032AA474" w:rsidR="00B61DCA" w:rsidRPr="00530B90" w:rsidRDefault="00B61DCA">
            <w:pPr>
              <w:pStyle w:val="TableRow"/>
              <w:rPr>
                <w:i/>
                <w:sz w:val="22"/>
              </w:rPr>
            </w:pP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B3530" w14:textId="77777777" w:rsidR="00E66558" w:rsidRDefault="00C05245">
            <w:pPr>
              <w:pStyle w:val="TableRowCentered"/>
              <w:jc w:val="left"/>
              <w:rPr>
                <w:sz w:val="22"/>
              </w:rPr>
            </w:pPr>
            <w:hyperlink r:id="rId15" w:history="1">
              <w:r w:rsidR="00354CCD" w:rsidRPr="00354CCD">
                <w:rPr>
                  <w:rStyle w:val="Hyperlink"/>
                  <w:sz w:val="22"/>
                </w:rPr>
                <w:t>EEF: Individualised Instruction</w:t>
              </w:r>
            </w:hyperlink>
          </w:p>
          <w:p w14:paraId="1BAAA26A" w14:textId="77777777" w:rsidR="00354CCD" w:rsidRDefault="00354CCD">
            <w:pPr>
              <w:pStyle w:val="TableRowCentered"/>
              <w:jc w:val="left"/>
              <w:rPr>
                <w:sz w:val="22"/>
              </w:rPr>
            </w:pPr>
            <w:r>
              <w:rPr>
                <w:sz w:val="22"/>
              </w:rPr>
              <w:t xml:space="preserve">Research shows that individualised instruction has an impact of 4+ months. </w:t>
            </w:r>
          </w:p>
          <w:p w14:paraId="464565B0" w14:textId="77777777" w:rsidR="00616558" w:rsidRDefault="00616558">
            <w:pPr>
              <w:pStyle w:val="TableRowCentered"/>
              <w:jc w:val="left"/>
              <w:rPr>
                <w:sz w:val="22"/>
              </w:rPr>
            </w:pPr>
          </w:p>
          <w:p w14:paraId="449AB69B" w14:textId="77777777" w:rsidR="00616558" w:rsidRDefault="00616558">
            <w:pPr>
              <w:pStyle w:val="TableRowCentered"/>
              <w:jc w:val="left"/>
              <w:rPr>
                <w:sz w:val="20"/>
                <w:szCs w:val="18"/>
              </w:rPr>
            </w:pPr>
            <w:r>
              <w:rPr>
                <w:sz w:val="20"/>
                <w:szCs w:val="18"/>
              </w:rPr>
              <w:t xml:space="preserve">2023-2024- It was evaluated that this intervention was not benefiting our pupil premium children due to a lack of engagement outside of school. </w:t>
            </w:r>
          </w:p>
          <w:p w14:paraId="322D8B47" w14:textId="77777777" w:rsidR="00616558" w:rsidRDefault="00616558">
            <w:pPr>
              <w:pStyle w:val="TableRowCentered"/>
              <w:jc w:val="left"/>
              <w:rPr>
                <w:sz w:val="20"/>
                <w:szCs w:val="18"/>
              </w:rPr>
            </w:pPr>
          </w:p>
          <w:p w14:paraId="2A7D552E" w14:textId="15F3B2D6" w:rsidR="00616558" w:rsidRPr="00616558" w:rsidRDefault="00B61DCA">
            <w:pPr>
              <w:pStyle w:val="TableRowCentered"/>
              <w:jc w:val="left"/>
              <w:rPr>
                <w:sz w:val="20"/>
                <w:szCs w:val="18"/>
              </w:rPr>
            </w:pPr>
            <w:r w:rsidRPr="00616558">
              <w:rPr>
                <w:color w:val="0070C0"/>
                <w:sz w:val="20"/>
                <w:szCs w:val="18"/>
              </w:rPr>
              <w:t>2024-2025: This funding will be used for purchase of rich text to support our foundation subjects and support book clubs for target groups.</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E17FBEC" w:rsidR="00E66558" w:rsidRDefault="00354CCD">
            <w:pPr>
              <w:pStyle w:val="TableRowCentered"/>
              <w:jc w:val="left"/>
              <w:rPr>
                <w:sz w:val="22"/>
              </w:rPr>
            </w:pPr>
            <w:r>
              <w:rPr>
                <w:sz w:val="22"/>
              </w:rPr>
              <w:t>2,4</w:t>
            </w:r>
          </w:p>
        </w:tc>
      </w:tr>
      <w:tr w:rsidR="009F3048" w14:paraId="1BC3F0E3" w14:textId="77777777" w:rsidTr="00D638BD">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9D3F2" w14:textId="0894D577" w:rsidR="009F3048" w:rsidRPr="00555DF4" w:rsidRDefault="009F3048">
            <w:pPr>
              <w:pStyle w:val="TableRow"/>
              <w:rPr>
                <w:sz w:val="22"/>
                <w:szCs w:val="22"/>
              </w:rPr>
            </w:pPr>
            <w:r w:rsidRPr="00555DF4">
              <w:rPr>
                <w:sz w:val="22"/>
                <w:szCs w:val="22"/>
              </w:rPr>
              <w:t xml:space="preserve">Whole school approach to communication and language and oracy. </w:t>
            </w:r>
          </w:p>
          <w:p w14:paraId="50CDF518" w14:textId="77777777" w:rsidR="009F3048" w:rsidRPr="00555DF4" w:rsidRDefault="009F3048">
            <w:pPr>
              <w:pStyle w:val="TableRow"/>
              <w:rPr>
                <w:sz w:val="22"/>
                <w:szCs w:val="22"/>
              </w:rPr>
            </w:pPr>
          </w:p>
          <w:p w14:paraId="379883F9" w14:textId="77777777" w:rsidR="009F3048" w:rsidRPr="00555DF4" w:rsidRDefault="009F3048">
            <w:pPr>
              <w:pStyle w:val="TableRow"/>
              <w:rPr>
                <w:sz w:val="22"/>
                <w:szCs w:val="22"/>
              </w:rPr>
            </w:pPr>
            <w:r w:rsidRPr="00555DF4">
              <w:rPr>
                <w:sz w:val="22"/>
                <w:szCs w:val="22"/>
              </w:rPr>
              <w:lastRenderedPageBreak/>
              <w:t xml:space="preserve">Train key staff in use of </w:t>
            </w:r>
            <w:proofErr w:type="spellStart"/>
            <w:r w:rsidRPr="00555DF4">
              <w:rPr>
                <w:sz w:val="22"/>
                <w:szCs w:val="22"/>
              </w:rPr>
              <w:t>Wellcomm</w:t>
            </w:r>
            <w:proofErr w:type="spellEnd"/>
            <w:r w:rsidRPr="00555DF4">
              <w:rPr>
                <w:sz w:val="22"/>
                <w:szCs w:val="22"/>
              </w:rPr>
              <w:t xml:space="preserve"> across the whole school from nursery to Year 6</w:t>
            </w:r>
          </w:p>
          <w:p w14:paraId="5A7D82B1" w14:textId="77777777" w:rsidR="009F3048" w:rsidRDefault="009F3048">
            <w:pPr>
              <w:pStyle w:val="TableRow"/>
              <w:rPr>
                <w:b/>
                <w:bCs/>
                <w:sz w:val="22"/>
                <w:szCs w:val="22"/>
              </w:rPr>
            </w:pPr>
            <w:r w:rsidRPr="000D7063">
              <w:rPr>
                <w:b/>
                <w:bCs/>
                <w:sz w:val="22"/>
                <w:szCs w:val="22"/>
              </w:rPr>
              <w:t>£</w:t>
            </w:r>
            <w:r w:rsidR="00B00198" w:rsidRPr="000D7063">
              <w:rPr>
                <w:b/>
                <w:bCs/>
                <w:sz w:val="22"/>
                <w:szCs w:val="22"/>
              </w:rPr>
              <w:t>1</w:t>
            </w:r>
            <w:r w:rsidR="00B00198" w:rsidRPr="000D7063">
              <w:rPr>
                <w:sz w:val="22"/>
                <w:szCs w:val="22"/>
              </w:rPr>
              <w:t>,</w:t>
            </w:r>
            <w:r w:rsidR="00B00198" w:rsidRPr="000D7063">
              <w:rPr>
                <w:b/>
                <w:bCs/>
                <w:sz w:val="22"/>
                <w:szCs w:val="22"/>
              </w:rPr>
              <w:t>000</w:t>
            </w:r>
          </w:p>
          <w:p w14:paraId="076C82FE" w14:textId="77777777" w:rsidR="0064642A" w:rsidRDefault="0064642A">
            <w:pPr>
              <w:pStyle w:val="TableRow"/>
              <w:rPr>
                <w:b/>
                <w:bCs/>
                <w:sz w:val="22"/>
                <w:szCs w:val="22"/>
              </w:rPr>
            </w:pPr>
          </w:p>
          <w:p w14:paraId="348CC207" w14:textId="109024F1" w:rsidR="0064642A" w:rsidRPr="00555DF4" w:rsidRDefault="0064642A">
            <w:pPr>
              <w:pStyle w:val="TableRow"/>
              <w:rPr>
                <w:sz w:val="22"/>
                <w:szCs w:val="22"/>
              </w:rPr>
            </w:pPr>
            <w:r w:rsidRPr="0064642A">
              <w:rPr>
                <w:b/>
                <w:bCs/>
                <w:color w:val="4F81BD" w:themeColor="accent1"/>
                <w:sz w:val="22"/>
                <w:szCs w:val="22"/>
              </w:rPr>
              <w:t>2024-2025: £1,000</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6ADE1" w14:textId="77777777" w:rsidR="009F3048" w:rsidRPr="00555DF4" w:rsidRDefault="009F3048">
            <w:pPr>
              <w:pStyle w:val="TableRowCentered"/>
              <w:jc w:val="left"/>
              <w:rPr>
                <w:sz w:val="22"/>
                <w:szCs w:val="22"/>
              </w:rPr>
            </w:pPr>
            <w:r w:rsidRPr="00555DF4">
              <w:rPr>
                <w:sz w:val="22"/>
                <w:szCs w:val="22"/>
              </w:rPr>
              <w:lastRenderedPageBreak/>
              <w:t xml:space="preserve">There is a strong evidence base that suggests oral language interventions, including dialogic activities such as high-quality classroom discussion, are </w:t>
            </w:r>
            <w:r w:rsidRPr="00555DF4">
              <w:rPr>
                <w:sz w:val="22"/>
                <w:szCs w:val="22"/>
              </w:rPr>
              <w:lastRenderedPageBreak/>
              <w:t xml:space="preserve">inexpensive to implement with high impacts on reading: </w:t>
            </w:r>
          </w:p>
          <w:p w14:paraId="6C92BFA0" w14:textId="77777777" w:rsidR="009F3048" w:rsidRPr="00555DF4" w:rsidRDefault="009F3048">
            <w:pPr>
              <w:pStyle w:val="TableRowCentered"/>
              <w:jc w:val="left"/>
              <w:rPr>
                <w:sz w:val="22"/>
                <w:szCs w:val="22"/>
              </w:rPr>
            </w:pPr>
          </w:p>
          <w:p w14:paraId="679E9495" w14:textId="77777777" w:rsidR="009F3048" w:rsidRDefault="00C05245">
            <w:pPr>
              <w:pStyle w:val="TableRowCentered"/>
              <w:jc w:val="left"/>
              <w:rPr>
                <w:rStyle w:val="Hyperlink"/>
                <w:sz w:val="22"/>
                <w:szCs w:val="22"/>
              </w:rPr>
            </w:pPr>
            <w:hyperlink r:id="rId16" w:history="1">
              <w:r w:rsidR="009F3048" w:rsidRPr="00555DF4">
                <w:rPr>
                  <w:rStyle w:val="Hyperlink"/>
                  <w:sz w:val="22"/>
                  <w:szCs w:val="22"/>
                </w:rPr>
                <w:t>EEF: Oral Language Interventions</w:t>
              </w:r>
            </w:hyperlink>
          </w:p>
          <w:p w14:paraId="0C6D31C0" w14:textId="77777777" w:rsidR="00616558" w:rsidRDefault="00616558">
            <w:pPr>
              <w:pStyle w:val="TableRowCentered"/>
              <w:jc w:val="left"/>
              <w:rPr>
                <w:rStyle w:val="Hyperlink"/>
                <w:sz w:val="22"/>
                <w:szCs w:val="22"/>
              </w:rPr>
            </w:pPr>
          </w:p>
          <w:p w14:paraId="0C38C07B" w14:textId="77777777" w:rsidR="00616558" w:rsidRDefault="00616558">
            <w:pPr>
              <w:pStyle w:val="TableRowCentered"/>
              <w:jc w:val="left"/>
              <w:rPr>
                <w:rStyle w:val="Hyperlink"/>
                <w:color w:val="auto"/>
                <w:sz w:val="20"/>
                <w:szCs w:val="16"/>
                <w:u w:val="none"/>
              </w:rPr>
            </w:pPr>
            <w:r w:rsidRPr="00616558">
              <w:rPr>
                <w:rStyle w:val="Hyperlink"/>
                <w:color w:val="auto"/>
                <w:sz w:val="20"/>
                <w:szCs w:val="16"/>
                <w:u w:val="none"/>
              </w:rPr>
              <w:t xml:space="preserve">2023-2023: </w:t>
            </w:r>
            <w:proofErr w:type="spellStart"/>
            <w:r w:rsidRPr="00616558">
              <w:rPr>
                <w:rStyle w:val="Hyperlink"/>
                <w:color w:val="auto"/>
                <w:sz w:val="20"/>
                <w:szCs w:val="16"/>
                <w:u w:val="none"/>
              </w:rPr>
              <w:t>Wellcomm</w:t>
            </w:r>
            <w:proofErr w:type="spellEnd"/>
            <w:r w:rsidRPr="00616558">
              <w:rPr>
                <w:rStyle w:val="Hyperlink"/>
                <w:color w:val="auto"/>
                <w:sz w:val="20"/>
                <w:szCs w:val="16"/>
                <w:u w:val="none"/>
              </w:rPr>
              <w:t xml:space="preserve"> was well established in EYFS. All children who engaged in the program made excellent progress. </w:t>
            </w:r>
          </w:p>
          <w:p w14:paraId="5474DCC7" w14:textId="77777777" w:rsidR="00616558" w:rsidRDefault="00616558">
            <w:pPr>
              <w:pStyle w:val="TableRowCentered"/>
              <w:jc w:val="left"/>
              <w:rPr>
                <w:rStyle w:val="Hyperlink"/>
                <w:color w:val="auto"/>
                <w:sz w:val="20"/>
                <w:szCs w:val="16"/>
                <w:u w:val="none"/>
              </w:rPr>
            </w:pPr>
          </w:p>
          <w:p w14:paraId="16FC67E1" w14:textId="760C2FE7" w:rsidR="00616558" w:rsidRPr="00616558" w:rsidRDefault="00616558">
            <w:pPr>
              <w:pStyle w:val="TableRowCentered"/>
              <w:jc w:val="left"/>
              <w:rPr>
                <w:sz w:val="22"/>
                <w:szCs w:val="22"/>
              </w:rPr>
            </w:pPr>
            <w:r w:rsidRPr="00616558">
              <w:rPr>
                <w:rStyle w:val="Hyperlink"/>
                <w:color w:val="0070C0"/>
                <w:sz w:val="20"/>
                <w:szCs w:val="16"/>
                <w:u w:val="none"/>
              </w:rPr>
              <w:t xml:space="preserve">2024-2025: </w:t>
            </w:r>
            <w:r>
              <w:rPr>
                <w:rStyle w:val="Hyperlink"/>
                <w:color w:val="0070C0"/>
                <w:sz w:val="20"/>
                <w:szCs w:val="16"/>
                <w:u w:val="none"/>
              </w:rPr>
              <w:t xml:space="preserve">We will extend this programme into Key Stage 1. Staff will be </w:t>
            </w:r>
            <w:proofErr w:type="gramStart"/>
            <w:r>
              <w:rPr>
                <w:rStyle w:val="Hyperlink"/>
                <w:color w:val="0070C0"/>
                <w:sz w:val="20"/>
                <w:szCs w:val="16"/>
                <w:u w:val="none"/>
              </w:rPr>
              <w:t>trained</w:t>
            </w:r>
            <w:proofErr w:type="gramEnd"/>
            <w:r>
              <w:rPr>
                <w:rStyle w:val="Hyperlink"/>
                <w:color w:val="0070C0"/>
                <w:sz w:val="20"/>
                <w:szCs w:val="16"/>
                <w:u w:val="none"/>
              </w:rPr>
              <w:t xml:space="preserve"> and resources purchased. </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9D457" w14:textId="532B7F73" w:rsidR="009F3048" w:rsidRDefault="00F35F2C">
            <w:pPr>
              <w:pStyle w:val="TableRowCentered"/>
              <w:jc w:val="left"/>
              <w:rPr>
                <w:sz w:val="22"/>
              </w:rPr>
            </w:pPr>
            <w:r>
              <w:rPr>
                <w:sz w:val="22"/>
              </w:rPr>
              <w:lastRenderedPageBreak/>
              <w:t>1-4</w:t>
            </w:r>
          </w:p>
        </w:tc>
      </w:tr>
      <w:tr w:rsidR="00BB7C76" w14:paraId="23E8F303" w14:textId="77777777" w:rsidTr="00D638BD">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DE28A" w14:textId="77777777" w:rsidR="00BB7C76" w:rsidRDefault="00BB7C76">
            <w:pPr>
              <w:pStyle w:val="TableRow"/>
              <w:rPr>
                <w:sz w:val="22"/>
                <w:szCs w:val="22"/>
              </w:rPr>
            </w:pPr>
            <w:r>
              <w:rPr>
                <w:sz w:val="22"/>
                <w:szCs w:val="22"/>
              </w:rPr>
              <w:t>Two additional learning support assistants to support early years (pupils coming into school significantly behind where we think they should be.</w:t>
            </w:r>
          </w:p>
          <w:p w14:paraId="633A50D1" w14:textId="6674A1F0" w:rsidR="00BB7C76" w:rsidRDefault="00BB7C76">
            <w:pPr>
              <w:pStyle w:val="TableRow"/>
              <w:rPr>
                <w:b/>
                <w:bCs/>
                <w:sz w:val="22"/>
                <w:szCs w:val="22"/>
              </w:rPr>
            </w:pPr>
            <w:r w:rsidRPr="00BB7C76">
              <w:rPr>
                <w:b/>
                <w:bCs/>
                <w:sz w:val="22"/>
                <w:szCs w:val="22"/>
              </w:rPr>
              <w:t>£</w:t>
            </w:r>
            <w:r w:rsidR="00F7098D">
              <w:rPr>
                <w:b/>
                <w:bCs/>
                <w:sz w:val="22"/>
                <w:szCs w:val="22"/>
              </w:rPr>
              <w:t>4</w:t>
            </w:r>
            <w:r w:rsidR="00DD084D">
              <w:rPr>
                <w:b/>
                <w:bCs/>
                <w:sz w:val="22"/>
                <w:szCs w:val="22"/>
              </w:rPr>
              <w:t>1</w:t>
            </w:r>
            <w:r>
              <w:rPr>
                <w:sz w:val="22"/>
                <w:szCs w:val="22"/>
              </w:rPr>
              <w:t>,</w:t>
            </w:r>
            <w:r w:rsidR="00DD084D">
              <w:rPr>
                <w:b/>
                <w:bCs/>
                <w:sz w:val="22"/>
                <w:szCs w:val="22"/>
              </w:rPr>
              <w:t>5</w:t>
            </w:r>
            <w:r w:rsidRPr="00BB7C76">
              <w:rPr>
                <w:b/>
                <w:bCs/>
                <w:sz w:val="22"/>
                <w:szCs w:val="22"/>
              </w:rPr>
              <w:t>00</w:t>
            </w:r>
          </w:p>
          <w:p w14:paraId="2E84BEF9" w14:textId="77777777" w:rsidR="005C3BA0" w:rsidRDefault="005C3BA0">
            <w:pPr>
              <w:pStyle w:val="TableRow"/>
              <w:rPr>
                <w:b/>
                <w:bCs/>
                <w:sz w:val="22"/>
                <w:szCs w:val="22"/>
              </w:rPr>
            </w:pPr>
          </w:p>
          <w:p w14:paraId="6AC3B23D" w14:textId="77777777" w:rsidR="005C3BA0" w:rsidRPr="005C3BA0" w:rsidRDefault="005C3BA0">
            <w:pPr>
              <w:pStyle w:val="TableRow"/>
              <w:rPr>
                <w:color w:val="0070C0"/>
                <w:sz w:val="20"/>
                <w:szCs w:val="20"/>
              </w:rPr>
            </w:pPr>
            <w:r w:rsidRPr="005C3BA0">
              <w:rPr>
                <w:color w:val="0070C0"/>
                <w:sz w:val="20"/>
                <w:szCs w:val="20"/>
              </w:rPr>
              <w:t xml:space="preserve">2024-2025: One additional learning support assistant employed to continue to support PP needs in Year 1. </w:t>
            </w:r>
          </w:p>
          <w:p w14:paraId="5B83C704" w14:textId="0464F029" w:rsidR="005C3BA0" w:rsidRPr="00555DF4" w:rsidRDefault="005C3BA0">
            <w:pPr>
              <w:pStyle w:val="TableRow"/>
              <w:rPr>
                <w:sz w:val="22"/>
                <w:szCs w:val="22"/>
              </w:rPr>
            </w:pPr>
            <w:r>
              <w:rPr>
                <w:b/>
                <w:bCs/>
                <w:color w:val="0070C0"/>
                <w:sz w:val="20"/>
                <w:szCs w:val="20"/>
              </w:rPr>
              <w:t>£</w:t>
            </w:r>
            <w:r w:rsidR="009973E2">
              <w:rPr>
                <w:b/>
                <w:bCs/>
                <w:color w:val="0070C0"/>
                <w:sz w:val="20"/>
                <w:szCs w:val="20"/>
              </w:rPr>
              <w:t>78,000</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987C3" w14:textId="64A66960" w:rsidR="00295C7C" w:rsidRPr="00295C7C" w:rsidRDefault="00295C7C" w:rsidP="00295C7C">
            <w:pPr>
              <w:pStyle w:val="TableRowCentered"/>
              <w:ind w:left="0"/>
              <w:jc w:val="left"/>
              <w:rPr>
                <w:color w:val="auto"/>
                <w:sz w:val="20"/>
              </w:rPr>
            </w:pPr>
          </w:p>
          <w:p w14:paraId="400F3427" w14:textId="77777777" w:rsidR="00295C7C" w:rsidRDefault="00295C7C">
            <w:pPr>
              <w:pStyle w:val="TableRowCentered"/>
              <w:jc w:val="left"/>
              <w:rPr>
                <w:color w:val="0070C0"/>
                <w:sz w:val="20"/>
              </w:rPr>
            </w:pPr>
          </w:p>
          <w:p w14:paraId="6976BF7D" w14:textId="52354DBB" w:rsidR="00BB7C76" w:rsidRPr="00555DF4" w:rsidRDefault="00616558">
            <w:pPr>
              <w:pStyle w:val="TableRowCentered"/>
              <w:jc w:val="left"/>
              <w:rPr>
                <w:sz w:val="22"/>
                <w:szCs w:val="22"/>
              </w:rPr>
            </w:pPr>
            <w:r w:rsidRPr="00616558">
              <w:rPr>
                <w:color w:val="0070C0"/>
                <w:sz w:val="20"/>
              </w:rPr>
              <w:t>2024-2025 update: This is a continued requirement given the needs of the incoming cohort</w:t>
            </w:r>
            <w:r w:rsidR="005C3BA0">
              <w:rPr>
                <w:color w:val="0070C0"/>
                <w:sz w:val="20"/>
              </w:rPr>
              <w:t>.</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D12DA" w14:textId="77777777" w:rsidR="00BB7C76" w:rsidRDefault="00BB7C76">
            <w:pPr>
              <w:pStyle w:val="TableRowCentered"/>
              <w:jc w:val="left"/>
              <w:rPr>
                <w:sz w:val="22"/>
              </w:rPr>
            </w:pPr>
          </w:p>
        </w:tc>
      </w:tr>
      <w:tr w:rsidR="00F35F2C" w14:paraId="27462E7D" w14:textId="77777777" w:rsidTr="00D638BD">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990FA" w14:textId="1FFBA79C" w:rsidR="00F35F2C" w:rsidRDefault="00BB7C76" w:rsidP="00326EC4">
            <w:pPr>
              <w:pStyle w:val="TableRow"/>
              <w:ind w:left="0"/>
              <w:rPr>
                <w:sz w:val="22"/>
                <w:szCs w:val="22"/>
              </w:rPr>
            </w:pPr>
            <w:r>
              <w:rPr>
                <w:sz w:val="22"/>
                <w:szCs w:val="22"/>
              </w:rPr>
              <w:t>Contribution towards the c</w:t>
            </w:r>
            <w:r w:rsidR="00F35F2C" w:rsidRPr="00555DF4">
              <w:rPr>
                <w:sz w:val="22"/>
                <w:szCs w:val="22"/>
              </w:rPr>
              <w:t xml:space="preserve">reation of a dedicated space to provide SEN provision, staffed by specialist staff members, </w:t>
            </w:r>
            <w:proofErr w:type="gramStart"/>
            <w:r w:rsidR="00F35F2C" w:rsidRPr="00555DF4">
              <w:rPr>
                <w:sz w:val="22"/>
                <w:szCs w:val="22"/>
              </w:rPr>
              <w:t>in order to</w:t>
            </w:r>
            <w:proofErr w:type="gramEnd"/>
            <w:r w:rsidR="00F35F2C" w:rsidRPr="00555DF4">
              <w:rPr>
                <w:sz w:val="22"/>
                <w:szCs w:val="22"/>
              </w:rPr>
              <w:t xml:space="preserve"> create an inclusive setting with a specific focus on improving the quality of education for our pupils with SEND.</w:t>
            </w:r>
          </w:p>
          <w:p w14:paraId="5B7D78E9" w14:textId="77777777" w:rsidR="00A84822" w:rsidRDefault="00A84822" w:rsidP="00326EC4">
            <w:pPr>
              <w:pStyle w:val="TableRow"/>
              <w:ind w:left="0"/>
              <w:rPr>
                <w:sz w:val="22"/>
                <w:szCs w:val="22"/>
              </w:rPr>
            </w:pPr>
          </w:p>
          <w:p w14:paraId="47F4F958" w14:textId="77777777" w:rsidR="00A84822" w:rsidRDefault="00A84822" w:rsidP="00326EC4">
            <w:pPr>
              <w:pStyle w:val="TableRow"/>
              <w:ind w:left="0"/>
              <w:rPr>
                <w:sz w:val="22"/>
                <w:szCs w:val="22"/>
              </w:rPr>
            </w:pPr>
            <w:r w:rsidRPr="000D7063">
              <w:rPr>
                <w:b/>
                <w:bCs/>
                <w:sz w:val="22"/>
                <w:szCs w:val="22"/>
              </w:rPr>
              <w:t>£</w:t>
            </w:r>
            <w:r w:rsidR="00BB7C76">
              <w:rPr>
                <w:b/>
                <w:bCs/>
                <w:sz w:val="22"/>
                <w:szCs w:val="22"/>
              </w:rPr>
              <w:t>20</w:t>
            </w:r>
            <w:r w:rsidRPr="000D7063">
              <w:rPr>
                <w:b/>
                <w:bCs/>
                <w:sz w:val="22"/>
                <w:szCs w:val="22"/>
              </w:rPr>
              <w:t>,000</w:t>
            </w:r>
            <w:r w:rsidR="00BB7C76">
              <w:rPr>
                <w:b/>
                <w:bCs/>
                <w:sz w:val="22"/>
                <w:szCs w:val="22"/>
              </w:rPr>
              <w:t xml:space="preserve"> </w:t>
            </w:r>
            <w:r w:rsidR="00BB7C76" w:rsidRPr="00BB7C76">
              <w:rPr>
                <w:sz w:val="22"/>
                <w:szCs w:val="22"/>
              </w:rPr>
              <w:t>contribution</w:t>
            </w:r>
            <w:r w:rsidR="00BB7C76">
              <w:rPr>
                <w:b/>
                <w:bCs/>
                <w:sz w:val="22"/>
                <w:szCs w:val="22"/>
              </w:rPr>
              <w:t xml:space="preserve"> </w:t>
            </w:r>
            <w:r w:rsidR="00BB7C76" w:rsidRPr="00BB7C76">
              <w:rPr>
                <w:sz w:val="22"/>
                <w:szCs w:val="22"/>
              </w:rPr>
              <w:t>towards</w:t>
            </w:r>
            <w:r w:rsidR="00BB7C76">
              <w:rPr>
                <w:b/>
                <w:bCs/>
                <w:sz w:val="22"/>
                <w:szCs w:val="22"/>
              </w:rPr>
              <w:t xml:space="preserve"> </w:t>
            </w:r>
            <w:r w:rsidR="00BB7C76" w:rsidRPr="00BB7C76">
              <w:rPr>
                <w:sz w:val="22"/>
                <w:szCs w:val="22"/>
              </w:rPr>
              <w:t>the</w:t>
            </w:r>
            <w:r w:rsidR="00BB7C76">
              <w:rPr>
                <w:b/>
                <w:bCs/>
                <w:sz w:val="22"/>
                <w:szCs w:val="22"/>
              </w:rPr>
              <w:t xml:space="preserve"> </w:t>
            </w:r>
            <w:r w:rsidR="00BB7C76" w:rsidRPr="00BB7C76">
              <w:rPr>
                <w:sz w:val="22"/>
                <w:szCs w:val="22"/>
              </w:rPr>
              <w:t>projected</w:t>
            </w:r>
            <w:r w:rsidR="00BB7C76">
              <w:rPr>
                <w:b/>
                <w:bCs/>
                <w:sz w:val="22"/>
                <w:szCs w:val="22"/>
              </w:rPr>
              <w:t xml:space="preserve"> </w:t>
            </w:r>
            <w:r w:rsidR="00BB7C76" w:rsidRPr="00BB7C76">
              <w:rPr>
                <w:sz w:val="22"/>
                <w:szCs w:val="22"/>
              </w:rPr>
              <w:t>£50,000 cost</w:t>
            </w:r>
            <w:r>
              <w:rPr>
                <w:sz w:val="22"/>
                <w:szCs w:val="22"/>
              </w:rPr>
              <w:t xml:space="preserve"> to cover both internal construction and the development of outdoor space.</w:t>
            </w:r>
          </w:p>
          <w:p w14:paraId="15949236" w14:textId="77777777" w:rsidR="009973E2" w:rsidRDefault="009973E2" w:rsidP="00326EC4">
            <w:pPr>
              <w:pStyle w:val="TableRow"/>
              <w:ind w:left="0"/>
              <w:rPr>
                <w:sz w:val="22"/>
                <w:szCs w:val="22"/>
              </w:rPr>
            </w:pPr>
          </w:p>
          <w:p w14:paraId="16E04F04" w14:textId="23704ABA" w:rsidR="009973E2" w:rsidRPr="0064642A" w:rsidRDefault="009973E2" w:rsidP="00326EC4">
            <w:pPr>
              <w:pStyle w:val="TableRow"/>
              <w:ind w:left="0"/>
              <w:rPr>
                <w:color w:val="4F81BD" w:themeColor="accent1"/>
                <w:sz w:val="22"/>
                <w:szCs w:val="22"/>
              </w:rPr>
            </w:pPr>
            <w:r w:rsidRPr="0064642A">
              <w:rPr>
                <w:color w:val="4F81BD" w:themeColor="accent1"/>
                <w:sz w:val="22"/>
                <w:szCs w:val="22"/>
              </w:rPr>
              <w:t xml:space="preserve">2024-2025: Cost of staffing SEN base to support a range of learning and social and emotional needs: </w:t>
            </w:r>
          </w:p>
          <w:p w14:paraId="051F71BC" w14:textId="1357550F" w:rsidR="0064642A" w:rsidRPr="0064642A" w:rsidRDefault="0064642A" w:rsidP="00326EC4">
            <w:pPr>
              <w:pStyle w:val="TableRow"/>
              <w:ind w:left="0"/>
              <w:rPr>
                <w:color w:val="4F81BD" w:themeColor="accent1"/>
                <w:sz w:val="22"/>
                <w:szCs w:val="22"/>
              </w:rPr>
            </w:pPr>
            <w:r w:rsidRPr="0064642A">
              <w:rPr>
                <w:color w:val="4F81BD" w:themeColor="accent1"/>
                <w:sz w:val="22"/>
                <w:szCs w:val="22"/>
              </w:rPr>
              <w:t>£</w:t>
            </w:r>
            <w:r w:rsidR="00C24C08">
              <w:rPr>
                <w:color w:val="4F81BD" w:themeColor="accent1"/>
                <w:sz w:val="22"/>
                <w:szCs w:val="22"/>
              </w:rPr>
              <w:t>36</w:t>
            </w:r>
            <w:r w:rsidR="000451CD">
              <w:rPr>
                <w:color w:val="4F81BD" w:themeColor="accent1"/>
                <w:sz w:val="22"/>
                <w:szCs w:val="22"/>
              </w:rPr>
              <w:t>,480</w:t>
            </w:r>
          </w:p>
          <w:p w14:paraId="6FE86DD4" w14:textId="77777777" w:rsidR="009973E2" w:rsidRDefault="009973E2" w:rsidP="00326EC4">
            <w:pPr>
              <w:pStyle w:val="TableRow"/>
              <w:ind w:left="0"/>
              <w:rPr>
                <w:sz w:val="22"/>
                <w:szCs w:val="22"/>
              </w:rPr>
            </w:pPr>
          </w:p>
          <w:p w14:paraId="73547AAB" w14:textId="77777777" w:rsidR="009973E2" w:rsidRDefault="009973E2" w:rsidP="00326EC4">
            <w:pPr>
              <w:pStyle w:val="TableRow"/>
              <w:ind w:left="0"/>
              <w:rPr>
                <w:sz w:val="22"/>
                <w:szCs w:val="22"/>
              </w:rPr>
            </w:pPr>
          </w:p>
          <w:p w14:paraId="79E564F3" w14:textId="29EAAF8C" w:rsidR="009973E2" w:rsidRPr="00555DF4" w:rsidRDefault="009973E2" w:rsidP="00326EC4">
            <w:pPr>
              <w:pStyle w:val="TableRow"/>
              <w:ind w:left="0"/>
              <w:rPr>
                <w:sz w:val="22"/>
                <w:szCs w:val="22"/>
              </w:rPr>
            </w:pP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36C93" w14:textId="77777777" w:rsidR="00F35F2C" w:rsidRPr="00555DF4" w:rsidRDefault="00F35F2C">
            <w:pPr>
              <w:pStyle w:val="TableRowCentered"/>
              <w:jc w:val="left"/>
              <w:rPr>
                <w:sz w:val="22"/>
                <w:szCs w:val="22"/>
              </w:rPr>
            </w:pPr>
            <w:r w:rsidRPr="00555DF4">
              <w:rPr>
                <w:sz w:val="22"/>
                <w:szCs w:val="22"/>
              </w:rPr>
              <w:t>Disadvantaged pupils with SEND have the greatest need for excellent teaching. Specific approaches to support these pupils may include explicit instruction, cognitive and metacognitive strategies, scaffolding, flexible grouping, and the targeted use of technology.</w:t>
            </w:r>
          </w:p>
          <w:p w14:paraId="4A3CC130" w14:textId="77777777" w:rsidR="00F35F2C" w:rsidRPr="00555DF4" w:rsidRDefault="00F35F2C">
            <w:pPr>
              <w:pStyle w:val="TableRowCentered"/>
              <w:jc w:val="left"/>
              <w:rPr>
                <w:sz w:val="22"/>
                <w:szCs w:val="22"/>
              </w:rPr>
            </w:pPr>
          </w:p>
          <w:p w14:paraId="64BE7E6F" w14:textId="77777777" w:rsidR="00F35F2C" w:rsidRDefault="00C05245">
            <w:pPr>
              <w:pStyle w:val="TableRowCentered"/>
              <w:jc w:val="left"/>
              <w:rPr>
                <w:rStyle w:val="Hyperlink"/>
                <w:sz w:val="22"/>
                <w:szCs w:val="22"/>
              </w:rPr>
            </w:pPr>
            <w:hyperlink r:id="rId17" w:history="1">
              <w:r w:rsidR="00F35F2C" w:rsidRPr="00555DF4">
                <w:rPr>
                  <w:rStyle w:val="Hyperlink"/>
                  <w:sz w:val="22"/>
                  <w:szCs w:val="22"/>
                </w:rPr>
                <w:t>EEF: Special Education Needs in Mainstream Schools</w:t>
              </w:r>
            </w:hyperlink>
          </w:p>
          <w:p w14:paraId="705EB8EF" w14:textId="5F1A428A" w:rsidR="0004595F" w:rsidRPr="00555DF4" w:rsidRDefault="0004595F">
            <w:pPr>
              <w:pStyle w:val="TableRowCentered"/>
              <w:jc w:val="left"/>
              <w:rPr>
                <w:sz w:val="22"/>
                <w:szCs w:val="22"/>
              </w:rPr>
            </w:pPr>
            <w:r w:rsidRPr="00616558">
              <w:rPr>
                <w:color w:val="0070C0"/>
                <w:sz w:val="20"/>
              </w:rPr>
              <w:t>2024-2025 update:</w:t>
            </w:r>
            <w:r>
              <w:rPr>
                <w:color w:val="0070C0"/>
                <w:sz w:val="20"/>
              </w:rPr>
              <w:t xml:space="preserve"> School continues to enhance this provision with appropriate resources and skilled staff.</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98FFF" w14:textId="23338783" w:rsidR="00F35F2C" w:rsidRDefault="00F35F2C">
            <w:pPr>
              <w:pStyle w:val="TableRowCentered"/>
              <w:jc w:val="left"/>
              <w:rPr>
                <w:sz w:val="22"/>
              </w:rPr>
            </w:pPr>
            <w:r>
              <w:rPr>
                <w:sz w:val="22"/>
              </w:rPr>
              <w:t>3</w:t>
            </w:r>
          </w:p>
        </w:tc>
      </w:tr>
    </w:tbl>
    <w:p w14:paraId="2A7D5531" w14:textId="77777777" w:rsidR="00E66558" w:rsidRDefault="00E66558" w:rsidP="00AA355B"/>
    <w:p w14:paraId="2A7D5532" w14:textId="59A68BC3" w:rsidR="00E66558" w:rsidRPr="00AA355B" w:rsidRDefault="009D71E8" w:rsidP="00AA355B">
      <w:pPr>
        <w:pStyle w:val="Heading3"/>
      </w:pPr>
      <w:r>
        <w:lastRenderedPageBreak/>
        <w:t>Wider strategies (for example, related to attendance, behaviour, wellbeing)</w:t>
      </w:r>
    </w:p>
    <w:p w14:paraId="2A7D5533" w14:textId="7AA62DBB" w:rsidR="00E66558" w:rsidRDefault="009D71E8">
      <w:pPr>
        <w:spacing w:before="240" w:after="120"/>
        <w:rPr>
          <w:i/>
          <w:iCs/>
        </w:rPr>
      </w:pPr>
      <w:r>
        <w:t xml:space="preserve">Budgeted cost: £ </w:t>
      </w:r>
      <w:r w:rsidR="00006941">
        <w:rPr>
          <w:i/>
          <w:iCs/>
        </w:rPr>
        <w:t>196,868</w:t>
      </w:r>
    </w:p>
    <w:p w14:paraId="39F3C40B" w14:textId="76463834" w:rsidR="00C24C08" w:rsidRPr="00C24C08" w:rsidRDefault="00C24C08">
      <w:pPr>
        <w:spacing w:before="240" w:after="120"/>
        <w:rPr>
          <w:color w:val="4F81BD" w:themeColor="accent1"/>
        </w:rPr>
      </w:pPr>
      <w:r w:rsidRPr="00C24C08">
        <w:rPr>
          <w:i/>
          <w:iCs/>
          <w:color w:val="4F81BD" w:themeColor="accent1"/>
        </w:rPr>
        <w:t>2024-2025: £1</w:t>
      </w:r>
      <w:r w:rsidR="000451CD">
        <w:rPr>
          <w:i/>
          <w:iCs/>
          <w:color w:val="4F81BD" w:themeColor="accent1"/>
        </w:rPr>
        <w:t>4</w:t>
      </w:r>
      <w:r w:rsidRPr="00C24C08">
        <w:rPr>
          <w:i/>
          <w:iCs/>
          <w:color w:val="4F81BD" w:themeColor="accent1"/>
        </w:rPr>
        <w:t>6,5</w:t>
      </w:r>
      <w:r w:rsidR="000451CD">
        <w:rPr>
          <w:i/>
          <w:iCs/>
          <w:color w:val="4F81BD" w:themeColor="accent1"/>
        </w:rPr>
        <w:t>46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DCDE" w14:textId="77777777" w:rsidR="00E66558" w:rsidRPr="000D7063" w:rsidRDefault="00F658B7">
            <w:pPr>
              <w:pStyle w:val="TableRow"/>
              <w:rPr>
                <w:sz w:val="22"/>
              </w:rPr>
            </w:pPr>
            <w:r w:rsidRPr="000D7063">
              <w:rPr>
                <w:sz w:val="22"/>
              </w:rPr>
              <w:t>Allowing breakfast club cost to be kept to a minimum, meaning that children can access and are set up for the school day</w:t>
            </w:r>
          </w:p>
          <w:p w14:paraId="7E37251B" w14:textId="77777777" w:rsidR="00A84822" w:rsidRDefault="00A84822">
            <w:pPr>
              <w:pStyle w:val="TableRow"/>
              <w:rPr>
                <w:b/>
                <w:bCs/>
              </w:rPr>
            </w:pPr>
            <w:r w:rsidRPr="000D7063">
              <w:rPr>
                <w:b/>
                <w:bCs/>
              </w:rPr>
              <w:t>£4,000</w:t>
            </w:r>
          </w:p>
          <w:p w14:paraId="607EA676" w14:textId="77777777" w:rsidR="0064642A" w:rsidRDefault="0064642A">
            <w:pPr>
              <w:pStyle w:val="TableRow"/>
              <w:rPr>
                <w:b/>
                <w:bCs/>
              </w:rPr>
            </w:pPr>
          </w:p>
          <w:p w14:paraId="2A7D5538" w14:textId="4E28BCD1" w:rsidR="0064642A" w:rsidRPr="00C24C08" w:rsidRDefault="0064642A">
            <w:pPr>
              <w:pStyle w:val="TableRow"/>
            </w:pPr>
            <w:r w:rsidRPr="00C24C08">
              <w:rPr>
                <w:color w:val="4F81BD" w:themeColor="accent1"/>
              </w:rPr>
              <w:t xml:space="preserve">2024-2025: </w:t>
            </w:r>
            <w:r w:rsidR="00C24C08" w:rsidRPr="00C24C08">
              <w:rPr>
                <w:color w:val="4F81BD" w:themeColor="accent1"/>
              </w:rPr>
              <w:t>4,000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35714" w14:textId="4DD928CC" w:rsidR="00555DF4" w:rsidRDefault="00F658B7" w:rsidP="00555DF4">
            <w:pPr>
              <w:pStyle w:val="TableRowCentered"/>
              <w:jc w:val="left"/>
              <w:rPr>
                <w:sz w:val="22"/>
              </w:rPr>
            </w:pPr>
            <w:r w:rsidRPr="00530B90">
              <w:rPr>
                <w:sz w:val="22"/>
              </w:rPr>
              <w:t xml:space="preserve">Research shows impact of 2mths in ks1 and improved behaviour across school for all pupils   </w:t>
            </w:r>
          </w:p>
          <w:p w14:paraId="1EFEE650" w14:textId="11F5F59A" w:rsidR="00555DF4" w:rsidRPr="00530B90" w:rsidRDefault="00C05245" w:rsidP="00555DF4">
            <w:pPr>
              <w:pStyle w:val="TableRowCentered"/>
              <w:jc w:val="left"/>
              <w:rPr>
                <w:sz w:val="22"/>
              </w:rPr>
            </w:pPr>
            <w:hyperlink r:id="rId18" w:history="1">
              <w:r w:rsidR="00555DF4" w:rsidRPr="00555DF4">
                <w:rPr>
                  <w:rStyle w:val="Hyperlink"/>
                  <w:sz w:val="22"/>
                </w:rPr>
                <w:t>EEF: Magic Breakfast</w:t>
              </w:r>
            </w:hyperlink>
          </w:p>
          <w:p w14:paraId="3E03F0A5" w14:textId="77777777" w:rsidR="00E66558" w:rsidRDefault="00E66558" w:rsidP="00F658B7">
            <w:pPr>
              <w:pStyle w:val="TableRowCentered"/>
              <w:jc w:val="left"/>
              <w:rPr>
                <w:sz w:val="22"/>
              </w:rPr>
            </w:pPr>
          </w:p>
          <w:p w14:paraId="2A7D5539" w14:textId="207325A4" w:rsidR="0004595F" w:rsidRDefault="0004595F" w:rsidP="00F658B7">
            <w:pPr>
              <w:pStyle w:val="TableRowCentered"/>
              <w:jc w:val="left"/>
              <w:rPr>
                <w:sz w:val="22"/>
              </w:rPr>
            </w:pPr>
            <w:r w:rsidRPr="00616558">
              <w:rPr>
                <w:color w:val="0070C0"/>
                <w:sz w:val="20"/>
              </w:rPr>
              <w:t>2024-2025 update:</w:t>
            </w:r>
            <w:r>
              <w:rPr>
                <w:color w:val="0070C0"/>
                <w:sz w:val="20"/>
              </w:rPr>
              <w:t xml:space="preserve"> Continued subsidiary for breakfast club to continue</w:t>
            </w:r>
            <w:r w:rsidR="005B58F6">
              <w:rPr>
                <w:color w:val="0070C0"/>
                <w:sz w:val="20"/>
              </w:rPr>
              <w:t>, this will be promoted to Pupil Premium children who have low attendance.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56A80E5" w:rsidR="00E66558" w:rsidRDefault="00F658B7" w:rsidP="00F658B7">
            <w:pPr>
              <w:pStyle w:val="TableRowCentered"/>
              <w:ind w:left="0"/>
              <w:jc w:val="left"/>
              <w:rPr>
                <w:sz w:val="22"/>
              </w:rPr>
            </w:pPr>
            <w:r>
              <w:rPr>
                <w:sz w:val="22"/>
              </w:rPr>
              <w:t>4-6</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018C" w14:textId="6BC0F87C" w:rsidR="00F658B7" w:rsidRDefault="00F658B7">
            <w:pPr>
              <w:pStyle w:val="TableRow"/>
              <w:rPr>
                <w:sz w:val="22"/>
                <w:szCs w:val="22"/>
              </w:rPr>
            </w:pPr>
            <w:r w:rsidRPr="00530B90">
              <w:rPr>
                <w:sz w:val="22"/>
                <w:szCs w:val="22"/>
              </w:rPr>
              <w:t xml:space="preserve">Improve health and fitness levels of all children. </w:t>
            </w:r>
          </w:p>
          <w:p w14:paraId="6509A6A7" w14:textId="3AFCDF73" w:rsidR="00F35F2C" w:rsidRPr="000D7063" w:rsidRDefault="00F35F2C">
            <w:pPr>
              <w:pStyle w:val="TableRow"/>
              <w:rPr>
                <w:b/>
                <w:bCs/>
                <w:sz w:val="22"/>
                <w:szCs w:val="22"/>
              </w:rPr>
            </w:pPr>
          </w:p>
          <w:p w14:paraId="69E44D9D" w14:textId="6D61FFA7" w:rsidR="00F35F2C" w:rsidRPr="00530B90" w:rsidRDefault="00F35F2C">
            <w:pPr>
              <w:pStyle w:val="TableRow"/>
              <w:rPr>
                <w:sz w:val="22"/>
                <w:szCs w:val="22"/>
              </w:rPr>
            </w:pPr>
            <w:r>
              <w:rPr>
                <w:sz w:val="22"/>
                <w:szCs w:val="22"/>
              </w:rPr>
              <w:t xml:space="preserve">Financial support to provide </w:t>
            </w:r>
            <w:proofErr w:type="gramStart"/>
            <w:r>
              <w:rPr>
                <w:sz w:val="22"/>
                <w:szCs w:val="22"/>
              </w:rPr>
              <w:t>low cost</w:t>
            </w:r>
            <w:proofErr w:type="gramEnd"/>
            <w:r>
              <w:rPr>
                <w:sz w:val="22"/>
                <w:szCs w:val="22"/>
              </w:rPr>
              <w:t xml:space="preserve"> school meals - </w:t>
            </w:r>
            <w:r w:rsidRPr="000D7063">
              <w:rPr>
                <w:b/>
                <w:bCs/>
                <w:sz w:val="22"/>
                <w:szCs w:val="22"/>
              </w:rPr>
              <w:t xml:space="preserve">£ </w:t>
            </w:r>
            <w:r w:rsidR="007B623A" w:rsidRPr="000D7063">
              <w:rPr>
                <w:b/>
                <w:bCs/>
                <w:sz w:val="22"/>
                <w:szCs w:val="22"/>
              </w:rPr>
              <w:t>8360</w:t>
            </w:r>
          </w:p>
          <w:p w14:paraId="4C05C0CE" w14:textId="1775D497" w:rsidR="00A84822" w:rsidRDefault="00F658B7">
            <w:pPr>
              <w:pStyle w:val="TableRow"/>
              <w:rPr>
                <w:sz w:val="22"/>
                <w:szCs w:val="22"/>
              </w:rPr>
            </w:pPr>
            <w:r w:rsidRPr="000D7063">
              <w:rPr>
                <w:sz w:val="22"/>
                <w:szCs w:val="22"/>
              </w:rPr>
              <w:t>Daily fruit</w:t>
            </w:r>
            <w:r w:rsidR="00A84822" w:rsidRPr="000D7063">
              <w:rPr>
                <w:sz w:val="22"/>
                <w:szCs w:val="22"/>
              </w:rPr>
              <w:t xml:space="preserve"> for KS2</w:t>
            </w:r>
            <w:r w:rsidRPr="000D7063">
              <w:rPr>
                <w:sz w:val="22"/>
                <w:szCs w:val="22"/>
              </w:rPr>
              <w:t xml:space="preserve"> - </w:t>
            </w:r>
            <w:r w:rsidR="007B623A" w:rsidRPr="000D7063">
              <w:rPr>
                <w:b/>
                <w:bCs/>
                <w:sz w:val="22"/>
                <w:szCs w:val="22"/>
              </w:rPr>
              <w:t>£</w:t>
            </w:r>
            <w:r w:rsidR="00A84822" w:rsidRPr="000D7063">
              <w:rPr>
                <w:b/>
                <w:bCs/>
                <w:sz w:val="22"/>
                <w:szCs w:val="22"/>
              </w:rPr>
              <w:t>12,600.</w:t>
            </w:r>
          </w:p>
          <w:p w14:paraId="3C87D593" w14:textId="77777777" w:rsidR="00E66558" w:rsidRDefault="00F658B7">
            <w:pPr>
              <w:pStyle w:val="TableRow"/>
              <w:rPr>
                <w:b/>
                <w:bCs/>
                <w:sz w:val="22"/>
                <w:szCs w:val="22"/>
              </w:rPr>
            </w:pPr>
            <w:r w:rsidRPr="00530B90">
              <w:rPr>
                <w:sz w:val="22"/>
                <w:szCs w:val="22"/>
              </w:rPr>
              <w:t xml:space="preserve">School PE kits for reception and spares </w:t>
            </w:r>
            <w:r w:rsidRPr="000D7063">
              <w:rPr>
                <w:sz w:val="22"/>
                <w:szCs w:val="22"/>
              </w:rPr>
              <w:t xml:space="preserve">throughout school. </w:t>
            </w:r>
            <w:r w:rsidR="00A84822" w:rsidRPr="000D7063">
              <w:rPr>
                <w:b/>
                <w:bCs/>
                <w:sz w:val="22"/>
                <w:szCs w:val="22"/>
              </w:rPr>
              <w:t>£500</w:t>
            </w:r>
          </w:p>
          <w:p w14:paraId="5E513338" w14:textId="77777777" w:rsidR="00C24C08" w:rsidRDefault="00C24C08">
            <w:pPr>
              <w:pStyle w:val="TableRow"/>
              <w:rPr>
                <w:b/>
                <w:i/>
                <w:sz w:val="22"/>
                <w:szCs w:val="22"/>
              </w:rPr>
            </w:pPr>
          </w:p>
          <w:p w14:paraId="2A7D553C" w14:textId="34898607" w:rsidR="00C24C08" w:rsidRPr="00C24C08" w:rsidRDefault="00C24C08">
            <w:pPr>
              <w:pStyle w:val="TableRow"/>
              <w:rPr>
                <w:bCs/>
                <w:iCs/>
                <w:sz w:val="22"/>
                <w:szCs w:val="22"/>
              </w:rPr>
            </w:pPr>
            <w:r w:rsidRPr="00C24C08">
              <w:rPr>
                <w:bCs/>
                <w:iCs/>
                <w:color w:val="4F81BD" w:themeColor="accent1"/>
                <w:sz w:val="22"/>
                <w:szCs w:val="22"/>
              </w:rPr>
              <w:t>2024-2025: Costing same as last year.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F479" w14:textId="77777777" w:rsidR="00F658B7" w:rsidRPr="00530B90" w:rsidRDefault="00F658B7">
            <w:pPr>
              <w:pStyle w:val="TableRowCentered"/>
              <w:jc w:val="left"/>
              <w:rPr>
                <w:sz w:val="22"/>
              </w:rPr>
            </w:pPr>
            <w:r w:rsidRPr="00530B90">
              <w:rPr>
                <w:sz w:val="22"/>
              </w:rPr>
              <w:t xml:space="preserve">Childhood obesity levels are at an all-time high. Poor awareness of healthy living. </w:t>
            </w:r>
          </w:p>
          <w:p w14:paraId="41FC2296" w14:textId="77777777" w:rsidR="00F658B7" w:rsidRPr="00530B90" w:rsidRDefault="00F658B7">
            <w:pPr>
              <w:pStyle w:val="TableRowCentered"/>
              <w:jc w:val="left"/>
              <w:rPr>
                <w:sz w:val="22"/>
              </w:rPr>
            </w:pPr>
            <w:r w:rsidRPr="00530B90">
              <w:rPr>
                <w:sz w:val="22"/>
              </w:rPr>
              <w:t xml:space="preserve">Children are receiving daily portion of fruit. </w:t>
            </w:r>
          </w:p>
          <w:p w14:paraId="7994EEDA" w14:textId="77777777" w:rsidR="00E66558" w:rsidRDefault="00F658B7">
            <w:pPr>
              <w:pStyle w:val="TableRowCentered"/>
              <w:jc w:val="left"/>
              <w:rPr>
                <w:sz w:val="22"/>
              </w:rPr>
            </w:pPr>
            <w:r w:rsidRPr="00530B90">
              <w:rPr>
                <w:sz w:val="22"/>
              </w:rPr>
              <w:t>Good habits for PE start in reception and are built on as children move through the school.</w:t>
            </w:r>
          </w:p>
          <w:p w14:paraId="3F1E87C4" w14:textId="77777777" w:rsidR="0004595F" w:rsidRDefault="0004595F">
            <w:pPr>
              <w:pStyle w:val="TableRowCentered"/>
              <w:jc w:val="left"/>
              <w:rPr>
                <w:sz w:val="22"/>
              </w:rPr>
            </w:pPr>
          </w:p>
          <w:p w14:paraId="2A7D553D" w14:textId="31DE8216" w:rsidR="0004595F" w:rsidRDefault="0004595F">
            <w:pPr>
              <w:pStyle w:val="TableRowCentered"/>
              <w:jc w:val="left"/>
              <w:rPr>
                <w:sz w:val="22"/>
              </w:rPr>
            </w:pPr>
            <w:r w:rsidRPr="00616558">
              <w:rPr>
                <w:color w:val="0070C0"/>
                <w:sz w:val="20"/>
              </w:rPr>
              <w:t>2024-2025 update:</w:t>
            </w:r>
            <w:r>
              <w:rPr>
                <w:color w:val="0070C0"/>
                <w:sz w:val="20"/>
              </w:rPr>
              <w:t xml:space="preserve"> Continued support for children and families. </w:t>
            </w:r>
            <w:r w:rsidR="005B58F6">
              <w:rPr>
                <w:color w:val="0070C0"/>
                <w:sz w:val="20"/>
              </w:rPr>
              <w:t>Resources to support the promotion of healthy eating and exercise to be purchased.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E56EB1C" w:rsidR="00E66558" w:rsidRDefault="009F3048">
            <w:pPr>
              <w:pStyle w:val="TableRowCentered"/>
              <w:jc w:val="left"/>
              <w:rPr>
                <w:sz w:val="22"/>
              </w:rPr>
            </w:pPr>
            <w:r>
              <w:rPr>
                <w:sz w:val="22"/>
              </w:rPr>
              <w:t>1-6</w:t>
            </w:r>
          </w:p>
        </w:tc>
      </w:tr>
      <w:tr w:rsidR="00C530DA" w14:paraId="766F479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8D35" w14:textId="77777777" w:rsidR="00C530DA" w:rsidRPr="000D7063" w:rsidRDefault="00530B90">
            <w:pPr>
              <w:pStyle w:val="TableRow"/>
              <w:rPr>
                <w:sz w:val="22"/>
                <w:szCs w:val="22"/>
              </w:rPr>
            </w:pPr>
            <w:r w:rsidRPr="000D7063">
              <w:rPr>
                <w:sz w:val="22"/>
                <w:szCs w:val="22"/>
              </w:rPr>
              <w:t>Family support to support families at home and children in school who we identify as needing emotional, financial, housing support. Working to remove barriers between home and school.</w:t>
            </w:r>
          </w:p>
          <w:p w14:paraId="29A46212" w14:textId="77777777" w:rsidR="00A84822" w:rsidRDefault="00B00198">
            <w:pPr>
              <w:pStyle w:val="TableRow"/>
              <w:rPr>
                <w:b/>
                <w:bCs/>
                <w:sz w:val="22"/>
                <w:szCs w:val="22"/>
              </w:rPr>
            </w:pPr>
            <w:r w:rsidRPr="000D7063">
              <w:rPr>
                <w:b/>
                <w:bCs/>
                <w:sz w:val="22"/>
                <w:szCs w:val="22"/>
              </w:rPr>
              <w:t>£7016.00</w:t>
            </w:r>
          </w:p>
          <w:p w14:paraId="65DB239F" w14:textId="77777777" w:rsidR="00C24C08" w:rsidRDefault="00C24C08">
            <w:pPr>
              <w:pStyle w:val="TableRow"/>
              <w:rPr>
                <w:b/>
                <w:bCs/>
                <w:sz w:val="22"/>
                <w:szCs w:val="22"/>
              </w:rPr>
            </w:pPr>
          </w:p>
          <w:p w14:paraId="15B3B991" w14:textId="22F281AD" w:rsidR="00C24C08" w:rsidRPr="000D7063" w:rsidRDefault="00C24C08">
            <w:pPr>
              <w:pStyle w:val="TableRow"/>
              <w:rPr>
                <w:b/>
                <w:bCs/>
                <w:sz w:val="22"/>
                <w:szCs w:val="22"/>
              </w:rPr>
            </w:pPr>
            <w:r w:rsidRPr="00C24C08">
              <w:rPr>
                <w:bCs/>
                <w:iCs/>
                <w:color w:val="4F81BD" w:themeColor="accent1"/>
                <w:sz w:val="22"/>
                <w:szCs w:val="22"/>
              </w:rPr>
              <w:t>2024-2025: Costing same as last year.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6CFFB" w14:textId="77777777" w:rsidR="00C530DA" w:rsidRDefault="00530B90">
            <w:pPr>
              <w:pStyle w:val="TableRowCentered"/>
              <w:jc w:val="left"/>
              <w:rPr>
                <w:sz w:val="22"/>
              </w:rPr>
            </w:pPr>
            <w:r w:rsidRPr="00530B90">
              <w:rPr>
                <w:sz w:val="22"/>
              </w:rPr>
              <w:t>Family support service provide an important link between home and school. They are a vital part of Early Help Support and provide that support in a non-threatening way to ensure that barriers to children attending school and achieving their potential are removed.</w:t>
            </w:r>
          </w:p>
          <w:p w14:paraId="0A628E9B" w14:textId="77777777" w:rsidR="0004595F" w:rsidRDefault="0004595F">
            <w:pPr>
              <w:pStyle w:val="TableRowCentered"/>
              <w:jc w:val="left"/>
              <w:rPr>
                <w:sz w:val="22"/>
              </w:rPr>
            </w:pPr>
          </w:p>
          <w:p w14:paraId="2AE2AF71" w14:textId="4DD58255" w:rsidR="0004595F" w:rsidRDefault="0004595F">
            <w:pPr>
              <w:pStyle w:val="TableRowCentered"/>
              <w:jc w:val="left"/>
            </w:pPr>
            <w:r w:rsidRPr="00616558">
              <w:rPr>
                <w:color w:val="0070C0"/>
                <w:sz w:val="20"/>
              </w:rPr>
              <w:t>2024-2025 update:</w:t>
            </w:r>
            <w:r>
              <w:rPr>
                <w:color w:val="0070C0"/>
                <w:sz w:val="20"/>
              </w:rPr>
              <w:t xml:space="preserve"> Continued support for children and families through this service</w:t>
            </w:r>
            <w:r w:rsidR="005B58F6">
              <w:rPr>
                <w:color w:val="0070C0"/>
                <w:sz w:val="20"/>
              </w:rPr>
              <w:t>. Work will be particularly focused on removing barriers to good attendance.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14BA1" w14:textId="26F44290" w:rsidR="00C530DA" w:rsidRDefault="009F3048">
            <w:pPr>
              <w:pStyle w:val="TableRowCentered"/>
              <w:jc w:val="left"/>
              <w:rPr>
                <w:sz w:val="22"/>
              </w:rPr>
            </w:pPr>
            <w:r>
              <w:rPr>
                <w:sz w:val="22"/>
              </w:rPr>
              <w:t>5,6</w:t>
            </w:r>
          </w:p>
        </w:tc>
      </w:tr>
      <w:tr w:rsidR="00530B90" w14:paraId="1D9C4B0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48026" w14:textId="77777777" w:rsidR="00530B90" w:rsidRPr="000D7063" w:rsidRDefault="00530B90">
            <w:pPr>
              <w:pStyle w:val="TableRow"/>
              <w:rPr>
                <w:sz w:val="22"/>
              </w:rPr>
            </w:pPr>
            <w:r w:rsidRPr="000D7063">
              <w:rPr>
                <w:sz w:val="22"/>
              </w:rPr>
              <w:t xml:space="preserve">Brighter horizons counselling service for </w:t>
            </w:r>
            <w:r w:rsidRPr="000D7063">
              <w:rPr>
                <w:sz w:val="22"/>
              </w:rPr>
              <w:lastRenderedPageBreak/>
              <w:t>children to receive emotional support.</w:t>
            </w:r>
          </w:p>
          <w:p w14:paraId="66D58FF3" w14:textId="77777777" w:rsidR="00A84822" w:rsidRDefault="00B00198">
            <w:pPr>
              <w:pStyle w:val="TableRow"/>
              <w:rPr>
                <w:b/>
                <w:bCs/>
              </w:rPr>
            </w:pPr>
            <w:r w:rsidRPr="000D7063">
              <w:rPr>
                <w:b/>
                <w:bCs/>
              </w:rPr>
              <w:t>£15,200</w:t>
            </w:r>
          </w:p>
          <w:p w14:paraId="69D5B773" w14:textId="77777777" w:rsidR="009973E2" w:rsidRDefault="009973E2">
            <w:pPr>
              <w:pStyle w:val="TableRow"/>
              <w:rPr>
                <w:b/>
                <w:bCs/>
              </w:rPr>
            </w:pPr>
          </w:p>
          <w:p w14:paraId="07F2B4D6" w14:textId="77777777" w:rsidR="009973E2" w:rsidRPr="00523E57" w:rsidRDefault="009973E2">
            <w:pPr>
              <w:pStyle w:val="TableRow"/>
              <w:rPr>
                <w:color w:val="4F81BD" w:themeColor="accent1"/>
                <w:sz w:val="22"/>
                <w:szCs w:val="22"/>
              </w:rPr>
            </w:pPr>
            <w:r w:rsidRPr="00523E57">
              <w:rPr>
                <w:color w:val="4F81BD" w:themeColor="accent1"/>
                <w:sz w:val="22"/>
                <w:szCs w:val="22"/>
              </w:rPr>
              <w:t>2024-2025</w:t>
            </w:r>
          </w:p>
          <w:p w14:paraId="4D384BB2" w14:textId="36228036" w:rsidR="009973E2" w:rsidRPr="00523E57" w:rsidRDefault="009973E2">
            <w:pPr>
              <w:pStyle w:val="TableRow"/>
              <w:rPr>
                <w:color w:val="4F81BD" w:themeColor="accent1"/>
                <w:sz w:val="22"/>
                <w:szCs w:val="22"/>
              </w:rPr>
            </w:pPr>
            <w:r w:rsidRPr="00523E57">
              <w:rPr>
                <w:color w:val="4F81BD" w:themeColor="accent1"/>
                <w:sz w:val="22"/>
                <w:szCs w:val="22"/>
              </w:rPr>
              <w:t xml:space="preserve">Play Therapist and counselling service costs: </w:t>
            </w:r>
          </w:p>
          <w:p w14:paraId="04B50299" w14:textId="62B54E14" w:rsidR="009973E2" w:rsidRPr="00523E57" w:rsidRDefault="00523E57">
            <w:pPr>
              <w:pStyle w:val="TableRow"/>
              <w:rPr>
                <w:color w:val="4F81BD" w:themeColor="accent1"/>
                <w:sz w:val="22"/>
                <w:szCs w:val="22"/>
              </w:rPr>
            </w:pPr>
            <w:r w:rsidRPr="00523E57">
              <w:rPr>
                <w:color w:val="4F81BD" w:themeColor="accent1"/>
                <w:sz w:val="22"/>
                <w:szCs w:val="22"/>
              </w:rPr>
              <w:t>£8,</w:t>
            </w:r>
            <w:r>
              <w:rPr>
                <w:color w:val="4F81BD" w:themeColor="accent1"/>
                <w:sz w:val="22"/>
                <w:szCs w:val="22"/>
              </w:rPr>
              <w:t>550</w:t>
            </w:r>
          </w:p>
          <w:p w14:paraId="70861B13" w14:textId="710CB8DF" w:rsidR="009973E2" w:rsidRPr="000D7063" w:rsidRDefault="009973E2">
            <w:pPr>
              <w:pStyle w:val="TableRow"/>
              <w:rPr>
                <w:b/>
                <w:bC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0E5E9" w14:textId="77777777" w:rsidR="00530B90" w:rsidRDefault="00530B90">
            <w:pPr>
              <w:pStyle w:val="TableRowCentered"/>
              <w:jc w:val="left"/>
              <w:rPr>
                <w:sz w:val="22"/>
              </w:rPr>
            </w:pPr>
            <w:r w:rsidRPr="00530B90">
              <w:rPr>
                <w:sz w:val="22"/>
              </w:rPr>
              <w:lastRenderedPageBreak/>
              <w:t>Brighter horizons counselling service for children to receive emotional support.</w:t>
            </w:r>
          </w:p>
          <w:p w14:paraId="56B82979" w14:textId="77777777" w:rsidR="0004595F" w:rsidRDefault="0004595F">
            <w:pPr>
              <w:pStyle w:val="TableRowCentered"/>
              <w:jc w:val="left"/>
              <w:rPr>
                <w:sz w:val="22"/>
              </w:rPr>
            </w:pPr>
          </w:p>
          <w:p w14:paraId="63C990BA" w14:textId="53D01A00" w:rsidR="0004595F" w:rsidRDefault="0004595F">
            <w:pPr>
              <w:pStyle w:val="TableRowCentered"/>
              <w:jc w:val="left"/>
            </w:pPr>
            <w:r w:rsidRPr="00616558">
              <w:rPr>
                <w:color w:val="0070C0"/>
                <w:sz w:val="20"/>
              </w:rPr>
              <w:t>2024-2025 update:</w:t>
            </w:r>
            <w:r w:rsidR="00295C7C">
              <w:rPr>
                <w:color w:val="0070C0"/>
                <w:sz w:val="20"/>
              </w:rPr>
              <w:t xml:space="preserve"> School will be supported by play therapists and the Mental Health Service Support Team and bereavement support.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20DE8" w14:textId="358B90A3" w:rsidR="00530B90" w:rsidRDefault="009F3048">
            <w:pPr>
              <w:pStyle w:val="TableRowCentered"/>
              <w:jc w:val="left"/>
              <w:rPr>
                <w:sz w:val="22"/>
              </w:rPr>
            </w:pPr>
            <w:r>
              <w:rPr>
                <w:sz w:val="22"/>
              </w:rPr>
              <w:lastRenderedPageBreak/>
              <w:t>5,6</w:t>
            </w:r>
          </w:p>
        </w:tc>
      </w:tr>
      <w:tr w:rsidR="00530B90" w14:paraId="4946B1E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6D48E" w14:textId="5498A194" w:rsidR="00530B90" w:rsidRPr="000D7063" w:rsidRDefault="00530B90">
            <w:pPr>
              <w:pStyle w:val="TableRow"/>
              <w:rPr>
                <w:sz w:val="22"/>
              </w:rPr>
            </w:pPr>
            <w:r w:rsidRPr="000D7063">
              <w:rPr>
                <w:sz w:val="22"/>
              </w:rPr>
              <w:t xml:space="preserve">50% subsidy of year 5 and 6 residentials. This makes sure that this activity is accessible for all pupils. We attach an attendance incentive to the funding. The team building, life experiences and social skills that are encouraged and nurtured during these residentials massively befit the wellbeing of our children. </w:t>
            </w:r>
          </w:p>
          <w:p w14:paraId="74090D60" w14:textId="7FAE50ED" w:rsidR="00530B90" w:rsidRPr="000D7063" w:rsidRDefault="00530B90">
            <w:pPr>
              <w:pStyle w:val="TableRow"/>
              <w:rPr>
                <w:sz w:val="22"/>
              </w:rPr>
            </w:pPr>
            <w:r w:rsidRPr="000D7063">
              <w:rPr>
                <w:sz w:val="22"/>
              </w:rPr>
              <w:t xml:space="preserve">Residentials – </w:t>
            </w:r>
          </w:p>
          <w:p w14:paraId="04CA8397" w14:textId="0ECD4689" w:rsidR="00530B90" w:rsidRPr="000D7063" w:rsidRDefault="00530B90">
            <w:pPr>
              <w:pStyle w:val="TableRow"/>
              <w:rPr>
                <w:b/>
                <w:bCs/>
                <w:sz w:val="22"/>
              </w:rPr>
            </w:pPr>
            <w:r w:rsidRPr="000D7063">
              <w:rPr>
                <w:b/>
                <w:bCs/>
                <w:sz w:val="22"/>
              </w:rPr>
              <w:t>£</w:t>
            </w:r>
            <w:r w:rsidR="00A84822" w:rsidRPr="000D7063">
              <w:rPr>
                <w:b/>
                <w:bCs/>
                <w:sz w:val="22"/>
              </w:rPr>
              <w:t>10,000</w:t>
            </w:r>
          </w:p>
          <w:p w14:paraId="69B4E7D8" w14:textId="77777777" w:rsidR="00530B90" w:rsidRPr="000D7063" w:rsidRDefault="00530B90">
            <w:pPr>
              <w:pStyle w:val="TableRow"/>
              <w:rPr>
                <w:sz w:val="22"/>
              </w:rPr>
            </w:pPr>
            <w:r w:rsidRPr="000D7063">
              <w:rPr>
                <w:sz w:val="22"/>
              </w:rPr>
              <w:t>50% funding of all Extracurricular visits allows all children to access high quality curriculum enhancements, building the cultural capital of our children.</w:t>
            </w:r>
          </w:p>
          <w:p w14:paraId="6E09B95D" w14:textId="77777777" w:rsidR="00A84822" w:rsidRDefault="00A84822">
            <w:pPr>
              <w:pStyle w:val="TableRow"/>
              <w:rPr>
                <w:b/>
                <w:bCs/>
              </w:rPr>
            </w:pPr>
            <w:r w:rsidRPr="000D7063">
              <w:rPr>
                <w:b/>
                <w:bCs/>
              </w:rPr>
              <w:t>£10,000</w:t>
            </w:r>
          </w:p>
          <w:p w14:paraId="0AB8D199" w14:textId="77777777" w:rsidR="00C24C08" w:rsidRDefault="00C24C08">
            <w:pPr>
              <w:pStyle w:val="TableRow"/>
              <w:rPr>
                <w:b/>
                <w:bCs/>
              </w:rPr>
            </w:pPr>
          </w:p>
          <w:p w14:paraId="05F4CB75" w14:textId="6F4D9745" w:rsidR="00C24C08" w:rsidRPr="000D7063" w:rsidRDefault="00C24C08">
            <w:pPr>
              <w:pStyle w:val="TableRow"/>
              <w:rPr>
                <w:b/>
                <w:bCs/>
              </w:rPr>
            </w:pPr>
            <w:r w:rsidRPr="00C24C08">
              <w:rPr>
                <w:bCs/>
                <w:iCs/>
                <w:color w:val="4F81BD" w:themeColor="accent1"/>
                <w:sz w:val="22"/>
                <w:szCs w:val="22"/>
              </w:rPr>
              <w:t>2024-2025: Costing same as last year.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5E14" w14:textId="77777777" w:rsidR="00530B90" w:rsidRPr="009F3048" w:rsidRDefault="00530B90">
            <w:pPr>
              <w:pStyle w:val="TableRowCentered"/>
              <w:jc w:val="left"/>
              <w:rPr>
                <w:sz w:val="22"/>
              </w:rPr>
            </w:pPr>
            <w:r w:rsidRPr="009F3048">
              <w:rPr>
                <w:sz w:val="22"/>
              </w:rPr>
              <w:t>We believe that these residentials add value to the children at our school. For many children they are their first trip outside of Liverpool. Experience from running these trips show how important they are as life experiences. Completing these residentials fit in with our whole school moto; Caring, Learning and growing. This blog gives evidence of how children benefit from residential trips in primary school.</w:t>
            </w:r>
          </w:p>
          <w:p w14:paraId="001E8A01" w14:textId="77777777" w:rsidR="00530B90" w:rsidRPr="009F3048" w:rsidRDefault="00530B90">
            <w:pPr>
              <w:pStyle w:val="TableRowCentered"/>
              <w:jc w:val="left"/>
              <w:rPr>
                <w:sz w:val="22"/>
              </w:rPr>
            </w:pPr>
          </w:p>
          <w:p w14:paraId="647A42EE" w14:textId="77777777" w:rsidR="00530B90" w:rsidRDefault="00C05245">
            <w:pPr>
              <w:pStyle w:val="TableRowCentered"/>
              <w:jc w:val="left"/>
            </w:pPr>
            <w:hyperlink r:id="rId19" w:history="1">
              <w:r w:rsidR="009F3048" w:rsidRPr="009F3048">
                <w:rPr>
                  <w:rStyle w:val="Hyperlink"/>
                  <w:sz w:val="22"/>
                </w:rPr>
                <w:t>Learning Away: Comparative Research Project</w:t>
              </w:r>
            </w:hyperlink>
            <w:r w:rsidR="009F3048">
              <w:t xml:space="preserve"> </w:t>
            </w:r>
          </w:p>
          <w:p w14:paraId="17DC558C" w14:textId="77777777" w:rsidR="0004595F" w:rsidRDefault="0004595F">
            <w:pPr>
              <w:pStyle w:val="TableRowCentered"/>
              <w:jc w:val="left"/>
            </w:pPr>
          </w:p>
          <w:p w14:paraId="1B2E028D" w14:textId="6D2A0041" w:rsidR="0004595F" w:rsidRDefault="0004595F">
            <w:pPr>
              <w:pStyle w:val="TableRowCentered"/>
              <w:jc w:val="left"/>
            </w:pPr>
            <w:r w:rsidRPr="00616558">
              <w:rPr>
                <w:color w:val="0070C0"/>
                <w:sz w:val="20"/>
              </w:rPr>
              <w:t>2024-2025 update:</w:t>
            </w:r>
            <w:r>
              <w:rPr>
                <w:color w:val="0070C0"/>
                <w:sz w:val="20"/>
              </w:rPr>
              <w:t xml:space="preserve"> We have removed the attendance incentive as this proved problematic and damaged parental relationships. School will subsidise 25% </w:t>
            </w:r>
            <w:proofErr w:type="spellStart"/>
            <w:r>
              <w:rPr>
                <w:color w:val="0070C0"/>
                <w:sz w:val="20"/>
              </w:rPr>
              <w:t>fir</w:t>
            </w:r>
            <w:proofErr w:type="spellEnd"/>
            <w:r>
              <w:rPr>
                <w:color w:val="0070C0"/>
                <w:sz w:val="20"/>
              </w:rPr>
              <w:t xml:space="preserve"> all children regardless of attendance and there will be additional funding support for our most vulnerable families.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493CB" w14:textId="3F8ABA98" w:rsidR="00530B90" w:rsidRDefault="009F3048">
            <w:pPr>
              <w:pStyle w:val="TableRowCentered"/>
              <w:jc w:val="left"/>
              <w:rPr>
                <w:sz w:val="22"/>
              </w:rPr>
            </w:pPr>
            <w:r>
              <w:rPr>
                <w:sz w:val="22"/>
              </w:rPr>
              <w:t>5,6</w:t>
            </w:r>
          </w:p>
        </w:tc>
      </w:tr>
      <w:tr w:rsidR="009F3048" w14:paraId="57581008" w14:textId="77777777" w:rsidTr="00E072CB">
        <w:trPr>
          <w:trHeight w:val="2460"/>
        </w:trPr>
        <w:tc>
          <w:tcPr>
            <w:tcW w:w="268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A214CC" w14:textId="77777777" w:rsidR="009F3048" w:rsidRDefault="00A84822">
            <w:pPr>
              <w:pStyle w:val="TableRow"/>
              <w:rPr>
                <w:sz w:val="22"/>
              </w:rPr>
            </w:pPr>
            <w:r>
              <w:rPr>
                <w:sz w:val="22"/>
              </w:rPr>
              <w:t>Learning Mentor</w:t>
            </w:r>
            <w:r w:rsidR="009F3048" w:rsidRPr="009F3048">
              <w:rPr>
                <w:sz w:val="22"/>
              </w:rPr>
              <w:t xml:space="preserve"> appointed to engage with families, supporting social, emotional wellbeing and monitoring and support and promote attendanc</w:t>
            </w:r>
            <w:r>
              <w:rPr>
                <w:sz w:val="22"/>
              </w:rPr>
              <w:t>e</w:t>
            </w:r>
          </w:p>
          <w:p w14:paraId="7B7814CA" w14:textId="77777777" w:rsidR="00A84822" w:rsidRDefault="007B623A">
            <w:pPr>
              <w:pStyle w:val="TableRow"/>
              <w:rPr>
                <w:b/>
                <w:bCs/>
                <w:sz w:val="22"/>
              </w:rPr>
            </w:pPr>
            <w:r w:rsidRPr="000D7063">
              <w:rPr>
                <w:b/>
                <w:bCs/>
                <w:sz w:val="22"/>
              </w:rPr>
              <w:t>£44</w:t>
            </w:r>
            <w:r w:rsidRPr="000D7063">
              <w:rPr>
                <w:sz w:val="22"/>
              </w:rPr>
              <w:t>,</w:t>
            </w:r>
            <w:r w:rsidRPr="000D7063">
              <w:rPr>
                <w:b/>
                <w:bCs/>
                <w:sz w:val="22"/>
              </w:rPr>
              <w:t>192</w:t>
            </w:r>
          </w:p>
          <w:p w14:paraId="575AAC15" w14:textId="77777777" w:rsidR="00F00C19" w:rsidRDefault="00F00C19">
            <w:pPr>
              <w:pStyle w:val="TableRow"/>
              <w:rPr>
                <w:sz w:val="22"/>
              </w:rPr>
            </w:pPr>
          </w:p>
          <w:p w14:paraId="2CE3E606" w14:textId="77777777" w:rsidR="00523E57" w:rsidRDefault="00523E57">
            <w:pPr>
              <w:pStyle w:val="TableRow"/>
              <w:rPr>
                <w:sz w:val="22"/>
              </w:rPr>
            </w:pPr>
          </w:p>
          <w:p w14:paraId="37D9905E" w14:textId="239814DD" w:rsidR="00523E57" w:rsidRPr="009F3048" w:rsidRDefault="00C24C08">
            <w:pPr>
              <w:pStyle w:val="TableRow"/>
              <w:rPr>
                <w:sz w:val="22"/>
              </w:rPr>
            </w:pPr>
            <w:r w:rsidRPr="00C24C08">
              <w:rPr>
                <w:color w:val="4F81BD" w:themeColor="accent1"/>
                <w:sz w:val="22"/>
              </w:rPr>
              <w:t xml:space="preserve">2024-2025: </w:t>
            </w:r>
            <w:r w:rsidR="00523E57" w:rsidRPr="00C24C08">
              <w:rPr>
                <w:color w:val="4F81BD" w:themeColor="accent1"/>
                <w:sz w:val="22"/>
              </w:rPr>
              <w:t>£45,520</w:t>
            </w:r>
          </w:p>
        </w:tc>
        <w:tc>
          <w:tcPr>
            <w:tcW w:w="42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5293E37" w14:textId="1DE32E3F" w:rsidR="009F3048" w:rsidRPr="009F3048" w:rsidRDefault="009F3048">
            <w:pPr>
              <w:pStyle w:val="TableRowCentered"/>
              <w:jc w:val="left"/>
              <w:rPr>
                <w:sz w:val="22"/>
              </w:rPr>
            </w:pPr>
            <w:r w:rsidRPr="009F3048">
              <w:rPr>
                <w:sz w:val="22"/>
              </w:rPr>
              <w:t>This blog outlines the importance of strong pastoral care within a school setting. If barriers to attending school and learning well are removed children have no reason why they cannot achieve their full potential.</w:t>
            </w:r>
          </w:p>
          <w:p w14:paraId="16250A6E" w14:textId="77777777" w:rsidR="009F3048" w:rsidRPr="009F3048" w:rsidRDefault="009F3048">
            <w:pPr>
              <w:pStyle w:val="TableRowCentered"/>
              <w:jc w:val="left"/>
              <w:rPr>
                <w:sz w:val="22"/>
              </w:rPr>
            </w:pPr>
          </w:p>
          <w:p w14:paraId="644B2531" w14:textId="5A44A2C3" w:rsidR="009F3048" w:rsidRDefault="00C05245">
            <w:pPr>
              <w:pStyle w:val="TableRowCentered"/>
              <w:jc w:val="left"/>
              <w:rPr>
                <w:rStyle w:val="Hyperlink"/>
                <w:sz w:val="22"/>
              </w:rPr>
            </w:pPr>
            <w:hyperlink r:id="rId20" w:history="1">
              <w:r w:rsidR="009F3048" w:rsidRPr="009F3048">
                <w:rPr>
                  <w:rStyle w:val="Hyperlink"/>
                  <w:sz w:val="22"/>
                </w:rPr>
                <w:t>BERA: Pastoral Care</w:t>
              </w:r>
            </w:hyperlink>
          </w:p>
          <w:p w14:paraId="33F503CD" w14:textId="77777777" w:rsidR="0004595F" w:rsidRDefault="0004595F">
            <w:pPr>
              <w:pStyle w:val="TableRowCentered"/>
              <w:jc w:val="left"/>
              <w:rPr>
                <w:rStyle w:val="Hyperlink"/>
                <w:sz w:val="22"/>
              </w:rPr>
            </w:pPr>
          </w:p>
          <w:p w14:paraId="5B354A7F" w14:textId="70CFC36A" w:rsidR="0004595F" w:rsidRPr="009F3048" w:rsidRDefault="0004595F">
            <w:pPr>
              <w:pStyle w:val="TableRowCentered"/>
              <w:jc w:val="left"/>
              <w:rPr>
                <w:sz w:val="22"/>
              </w:rPr>
            </w:pPr>
            <w:r w:rsidRPr="00616558">
              <w:rPr>
                <w:color w:val="0070C0"/>
                <w:sz w:val="20"/>
              </w:rPr>
              <w:t>2024-2025 update:</w:t>
            </w:r>
            <w:r>
              <w:rPr>
                <w:color w:val="0070C0"/>
                <w:sz w:val="20"/>
              </w:rPr>
              <w:t xml:space="preserve"> Learning mentor will create a bespoke programme of support for targeted children linked to emotional literacy and </w:t>
            </w:r>
            <w:proofErr w:type="spellStart"/>
            <w:r>
              <w:rPr>
                <w:color w:val="0070C0"/>
                <w:sz w:val="20"/>
              </w:rPr>
              <w:t>self esteem</w:t>
            </w:r>
            <w:proofErr w:type="spellEnd"/>
            <w:r>
              <w:rPr>
                <w:color w:val="0070C0"/>
                <w:sz w:val="20"/>
              </w:rPr>
              <w:t>.</w:t>
            </w:r>
          </w:p>
          <w:p w14:paraId="30843E44" w14:textId="59EFEC5A" w:rsidR="009F3048" w:rsidRPr="009F3048" w:rsidRDefault="009F3048">
            <w:pPr>
              <w:pStyle w:val="TableRowCentered"/>
              <w:jc w:val="left"/>
              <w:rPr>
                <w:sz w:val="22"/>
              </w:rPr>
            </w:pPr>
            <w:r w:rsidRPr="009F3048">
              <w:rPr>
                <w:sz w:val="22"/>
              </w:rPr>
              <w:lastRenderedPageBreak/>
              <w:t xml:space="preserve"> </w:t>
            </w:r>
          </w:p>
        </w:tc>
        <w:tc>
          <w:tcPr>
            <w:tcW w:w="25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C55818E" w14:textId="77777777" w:rsidR="009F3048" w:rsidRDefault="009F3048">
            <w:pPr>
              <w:pStyle w:val="TableRowCentered"/>
              <w:jc w:val="left"/>
              <w:rPr>
                <w:sz w:val="22"/>
              </w:rPr>
            </w:pPr>
          </w:p>
        </w:tc>
      </w:tr>
      <w:tr w:rsidR="00E072CB" w14:paraId="1934C963" w14:textId="77777777" w:rsidTr="00E072CB">
        <w:trPr>
          <w:trHeight w:val="608"/>
        </w:trPr>
        <w:tc>
          <w:tcPr>
            <w:tcW w:w="268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0759A34" w14:textId="77777777" w:rsidR="00E072CB" w:rsidRDefault="00E072CB" w:rsidP="00E072CB">
            <w:pPr>
              <w:pStyle w:val="TableRow"/>
              <w:rPr>
                <w:sz w:val="22"/>
              </w:rPr>
            </w:pPr>
            <w:r>
              <w:rPr>
                <w:sz w:val="22"/>
              </w:rPr>
              <w:t>Attendance Support Officer (t.t. only) to support drive to raise standards of attendance through school. This will support safeguarding</w:t>
            </w:r>
          </w:p>
          <w:p w14:paraId="537AF53D" w14:textId="77777777" w:rsidR="00E072CB" w:rsidRDefault="00E072CB" w:rsidP="00E072CB">
            <w:pPr>
              <w:pStyle w:val="TableRow"/>
              <w:rPr>
                <w:b/>
                <w:bCs/>
                <w:sz w:val="22"/>
              </w:rPr>
            </w:pPr>
            <w:r w:rsidRPr="00E072CB">
              <w:rPr>
                <w:b/>
                <w:bCs/>
                <w:sz w:val="22"/>
              </w:rPr>
              <w:t>£35,000</w:t>
            </w:r>
          </w:p>
          <w:p w14:paraId="55B5F750" w14:textId="77777777" w:rsidR="00C24C08" w:rsidRDefault="00C24C08" w:rsidP="00E072CB">
            <w:pPr>
              <w:pStyle w:val="TableRow"/>
              <w:rPr>
                <w:b/>
                <w:bCs/>
                <w:sz w:val="22"/>
              </w:rPr>
            </w:pPr>
          </w:p>
          <w:p w14:paraId="279E1B8C" w14:textId="40DDA90E" w:rsidR="00C24C08" w:rsidRPr="00E072CB" w:rsidRDefault="00C24C08" w:rsidP="00E072CB">
            <w:pPr>
              <w:pStyle w:val="TableRow"/>
              <w:rPr>
                <w:b/>
                <w:bCs/>
                <w:sz w:val="22"/>
              </w:rPr>
            </w:pPr>
            <w:r w:rsidRPr="00C24C08">
              <w:rPr>
                <w:bCs/>
                <w:iCs/>
                <w:color w:val="4F81BD" w:themeColor="accent1"/>
                <w:sz w:val="22"/>
                <w:szCs w:val="22"/>
              </w:rPr>
              <w:t>2024-2025: Costing same as last year.</w:t>
            </w:r>
          </w:p>
        </w:tc>
        <w:tc>
          <w:tcPr>
            <w:tcW w:w="425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793A259" w14:textId="35D0E02F" w:rsidR="00E072CB" w:rsidRPr="009F3048" w:rsidRDefault="0004595F" w:rsidP="00E072CB">
            <w:pPr>
              <w:pStyle w:val="TableRowCentered"/>
              <w:jc w:val="left"/>
              <w:rPr>
                <w:sz w:val="22"/>
              </w:rPr>
            </w:pPr>
            <w:r w:rsidRPr="00616558">
              <w:rPr>
                <w:color w:val="0070C0"/>
                <w:sz w:val="20"/>
              </w:rPr>
              <w:t>2024-2025 update:</w:t>
            </w:r>
            <w:r>
              <w:rPr>
                <w:color w:val="0070C0"/>
                <w:sz w:val="20"/>
              </w:rPr>
              <w:t xml:space="preserve"> This role is now fulfilled in school.</w:t>
            </w:r>
          </w:p>
        </w:tc>
        <w:tc>
          <w:tcPr>
            <w:tcW w:w="254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5C81E06" w14:textId="77777777" w:rsidR="00E072CB" w:rsidRDefault="00E072CB">
            <w:pPr>
              <w:pStyle w:val="TableRowCentered"/>
              <w:jc w:val="left"/>
              <w:rPr>
                <w:sz w:val="22"/>
              </w:rPr>
            </w:pPr>
          </w:p>
        </w:tc>
      </w:tr>
      <w:tr w:rsidR="00F00C19" w14:paraId="3BAA38FE" w14:textId="77777777" w:rsidTr="00F00C19">
        <w:trPr>
          <w:trHeight w:val="1230"/>
        </w:trPr>
        <w:tc>
          <w:tcPr>
            <w:tcW w:w="268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59101" w14:textId="0E097EBD" w:rsidR="00F00C19" w:rsidRPr="000D7063" w:rsidRDefault="00F00C19" w:rsidP="00F00C19">
            <w:pPr>
              <w:pStyle w:val="TableRow"/>
              <w:rPr>
                <w:sz w:val="22"/>
              </w:rPr>
            </w:pPr>
            <w:r w:rsidRPr="000D7063">
              <w:rPr>
                <w:sz w:val="22"/>
              </w:rPr>
              <w:t xml:space="preserve">Purchase of a minibus ‘lite’ to enable pupils to access the rich cultural heritage of their locality and their </w:t>
            </w:r>
            <w:proofErr w:type="gramStart"/>
            <w:r w:rsidRPr="000D7063">
              <w:rPr>
                <w:sz w:val="22"/>
              </w:rPr>
              <w:t>City</w:t>
            </w:r>
            <w:proofErr w:type="gramEnd"/>
            <w:r w:rsidRPr="000D7063">
              <w:rPr>
                <w:sz w:val="22"/>
              </w:rPr>
              <w:t>.</w:t>
            </w:r>
          </w:p>
          <w:p w14:paraId="1D4FBECD" w14:textId="38ECF8E5" w:rsidR="00F00C19" w:rsidRPr="000D7063" w:rsidRDefault="00F00C19" w:rsidP="00F00C19">
            <w:pPr>
              <w:pStyle w:val="TableRow"/>
              <w:rPr>
                <w:sz w:val="22"/>
              </w:rPr>
            </w:pPr>
            <w:r w:rsidRPr="000D7063">
              <w:rPr>
                <w:sz w:val="22"/>
              </w:rPr>
              <w:t>(Art Galleries, museums, areas of scientific and natural interest (National Trust, Nature England etc) and to undertake fieldwork linked to specific topics (Science, History, Geography).</w:t>
            </w:r>
          </w:p>
          <w:p w14:paraId="05B8BA8B" w14:textId="77777777" w:rsidR="00F00C19" w:rsidRPr="000D7063" w:rsidRDefault="00F00C19" w:rsidP="00F00C19">
            <w:pPr>
              <w:pStyle w:val="TableRow"/>
              <w:rPr>
                <w:b/>
                <w:bCs/>
                <w:sz w:val="22"/>
              </w:rPr>
            </w:pPr>
          </w:p>
          <w:p w14:paraId="51DA7676" w14:textId="77777777" w:rsidR="00F00C19" w:rsidRDefault="00F00C19" w:rsidP="00F00C19">
            <w:pPr>
              <w:pStyle w:val="TableRow"/>
              <w:rPr>
                <w:b/>
                <w:bCs/>
                <w:sz w:val="22"/>
              </w:rPr>
            </w:pPr>
            <w:r w:rsidRPr="000D7063">
              <w:rPr>
                <w:b/>
                <w:bCs/>
                <w:sz w:val="22"/>
              </w:rPr>
              <w:t>£45,000</w:t>
            </w:r>
          </w:p>
          <w:p w14:paraId="1370524F" w14:textId="77777777" w:rsidR="00C24C08" w:rsidRDefault="00C24C08" w:rsidP="00F00C19">
            <w:pPr>
              <w:pStyle w:val="TableRow"/>
              <w:rPr>
                <w:b/>
                <w:bCs/>
                <w:sz w:val="22"/>
              </w:rPr>
            </w:pPr>
          </w:p>
          <w:p w14:paraId="78377AC9" w14:textId="5E045D75" w:rsidR="00C24C08" w:rsidRPr="000D7063" w:rsidRDefault="00C24C08" w:rsidP="00F00C19">
            <w:pPr>
              <w:pStyle w:val="TableRow"/>
              <w:rPr>
                <w:b/>
                <w:bCs/>
                <w:sz w:val="22"/>
              </w:rPr>
            </w:pPr>
            <w:r w:rsidRPr="00C24C08">
              <w:rPr>
                <w:bCs/>
                <w:iCs/>
                <w:color w:val="4F81BD" w:themeColor="accent1"/>
                <w:sz w:val="22"/>
                <w:szCs w:val="22"/>
              </w:rPr>
              <w:t xml:space="preserve">2024-2025: </w:t>
            </w:r>
            <w:r w:rsidR="000451CD">
              <w:rPr>
                <w:bCs/>
                <w:iCs/>
                <w:color w:val="4F81BD" w:themeColor="accent1"/>
                <w:sz w:val="22"/>
                <w:szCs w:val="22"/>
              </w:rPr>
              <w:t>No costings</w:t>
            </w:r>
          </w:p>
        </w:tc>
        <w:tc>
          <w:tcPr>
            <w:tcW w:w="425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E653D" w14:textId="0F9D9A7B" w:rsidR="00F00C19" w:rsidRPr="009F3048" w:rsidRDefault="0004595F" w:rsidP="00F00C19">
            <w:pPr>
              <w:pStyle w:val="TableRowCentered"/>
              <w:jc w:val="left"/>
              <w:rPr>
                <w:sz w:val="22"/>
              </w:rPr>
            </w:pPr>
            <w:r w:rsidRPr="00616558">
              <w:rPr>
                <w:color w:val="0070C0"/>
                <w:sz w:val="20"/>
              </w:rPr>
              <w:t>2024-2025 update:</w:t>
            </w:r>
            <w:r>
              <w:rPr>
                <w:color w:val="0070C0"/>
                <w:sz w:val="20"/>
              </w:rPr>
              <w:t xml:space="preserve"> The use of this minibus will enable more children to visit places across the city and as a school we will engage in a more sporting events and competitions.</w:t>
            </w:r>
          </w:p>
        </w:tc>
        <w:tc>
          <w:tcPr>
            <w:tcW w:w="254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E7E25" w14:textId="77777777" w:rsidR="00F00C19" w:rsidRDefault="00F00C19">
            <w:pPr>
              <w:pStyle w:val="TableRowCentered"/>
              <w:jc w:val="left"/>
              <w:rPr>
                <w:sz w:val="22"/>
              </w:rPr>
            </w:pPr>
          </w:p>
        </w:tc>
      </w:tr>
      <w:tr w:rsidR="00555DF4" w14:paraId="7205110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6EC96" w14:textId="77777777" w:rsidR="00555DF4" w:rsidRPr="000D7063" w:rsidRDefault="00555DF4">
            <w:pPr>
              <w:pStyle w:val="TableRow"/>
            </w:pPr>
            <w:r w:rsidRPr="000D7063">
              <w:t>Contingency fund for acute issues.</w:t>
            </w:r>
          </w:p>
          <w:p w14:paraId="74B11F53" w14:textId="77777777" w:rsidR="00A84822" w:rsidRPr="000D7063" w:rsidRDefault="00A84822">
            <w:pPr>
              <w:pStyle w:val="TableRow"/>
            </w:pPr>
          </w:p>
          <w:p w14:paraId="3BD0141F" w14:textId="77777777" w:rsidR="00A84822" w:rsidRPr="000D7063" w:rsidRDefault="00A84822">
            <w:pPr>
              <w:pStyle w:val="TableRow"/>
            </w:pPr>
          </w:p>
          <w:p w14:paraId="06C35827" w14:textId="77777777" w:rsidR="00A84822" w:rsidRPr="000D7063" w:rsidRDefault="00A84822">
            <w:pPr>
              <w:pStyle w:val="TableRow"/>
            </w:pPr>
          </w:p>
          <w:p w14:paraId="2191A215" w14:textId="77777777" w:rsidR="00A84822" w:rsidRDefault="00A84822">
            <w:pPr>
              <w:pStyle w:val="TableRow"/>
              <w:rPr>
                <w:b/>
                <w:bCs/>
              </w:rPr>
            </w:pPr>
            <w:r w:rsidRPr="000D7063">
              <w:rPr>
                <w:b/>
                <w:bCs/>
              </w:rPr>
              <w:t>£5,000</w:t>
            </w:r>
          </w:p>
          <w:p w14:paraId="09A45158" w14:textId="77777777" w:rsidR="00C24C08" w:rsidRDefault="00C24C08">
            <w:pPr>
              <w:pStyle w:val="TableRow"/>
              <w:rPr>
                <w:b/>
                <w:bCs/>
              </w:rPr>
            </w:pPr>
          </w:p>
          <w:p w14:paraId="1CF239FF" w14:textId="7FD1540A" w:rsidR="00C24C08" w:rsidRPr="000D7063" w:rsidRDefault="00C24C08">
            <w:pPr>
              <w:pStyle w:val="TableRow"/>
              <w:rPr>
                <w:b/>
                <w:bCs/>
                <w:sz w:val="22"/>
              </w:rPr>
            </w:pPr>
            <w:r w:rsidRPr="00C24C08">
              <w:rPr>
                <w:bCs/>
                <w:iCs/>
                <w:color w:val="4F81BD" w:themeColor="accent1"/>
                <w:sz w:val="22"/>
                <w:szCs w:val="22"/>
              </w:rPr>
              <w:t>2024-2025: Costing same as last year.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CCB" w14:textId="6C647549" w:rsidR="00555DF4" w:rsidRPr="009F3048" w:rsidRDefault="00555DF4">
            <w:pPr>
              <w:pStyle w:val="TableRowCentered"/>
              <w:jc w:val="left"/>
              <w:rPr>
                <w:sz w:val="22"/>
              </w:rPr>
            </w:pPr>
            <w:r>
              <w:t>Based on our experiences, and those of similar schools to ours, we have identified a need to set a small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6D138" w14:textId="144442B0" w:rsidR="00555DF4" w:rsidRDefault="00555DF4">
            <w:pPr>
              <w:pStyle w:val="TableRowCentered"/>
              <w:jc w:val="left"/>
              <w:rPr>
                <w:sz w:val="22"/>
              </w:rPr>
            </w:pPr>
            <w:r>
              <w:rPr>
                <w:sz w:val="22"/>
              </w:rPr>
              <w:t xml:space="preserve">1-6 </w:t>
            </w:r>
          </w:p>
        </w:tc>
      </w:tr>
    </w:tbl>
    <w:p w14:paraId="2A7D5540" w14:textId="77777777" w:rsidR="00E66558" w:rsidRDefault="00E66558">
      <w:pPr>
        <w:spacing w:before="240" w:after="0"/>
        <w:rPr>
          <w:b/>
          <w:bCs/>
          <w:color w:val="104F75"/>
          <w:sz w:val="28"/>
          <w:szCs w:val="28"/>
        </w:rPr>
      </w:pPr>
    </w:p>
    <w:p w14:paraId="66708FCE" w14:textId="77777777" w:rsidR="000451CD" w:rsidRDefault="000451CD" w:rsidP="00120AB1">
      <w:pPr>
        <w:rPr>
          <w:b/>
          <w:bCs/>
          <w:color w:val="104F75"/>
          <w:sz w:val="28"/>
          <w:szCs w:val="28"/>
        </w:rPr>
      </w:pPr>
    </w:p>
    <w:p w14:paraId="2A7D5541" w14:textId="3A9E5004" w:rsidR="00E66558" w:rsidRDefault="009D71E8" w:rsidP="00120AB1">
      <w:pPr>
        <w:rPr>
          <w:b/>
          <w:bCs/>
          <w:color w:val="auto"/>
          <w:sz w:val="28"/>
          <w:szCs w:val="28"/>
        </w:rPr>
      </w:pPr>
      <w:r w:rsidRPr="000451CD">
        <w:rPr>
          <w:b/>
          <w:bCs/>
          <w:color w:val="auto"/>
          <w:sz w:val="28"/>
          <w:szCs w:val="28"/>
        </w:rPr>
        <w:lastRenderedPageBreak/>
        <w:t xml:space="preserve">Total budgeted cost: £ </w:t>
      </w:r>
      <w:r w:rsidR="00E072CB" w:rsidRPr="000451CD">
        <w:rPr>
          <w:b/>
          <w:bCs/>
          <w:color w:val="auto"/>
          <w:sz w:val="28"/>
          <w:szCs w:val="28"/>
        </w:rPr>
        <w:t>30</w:t>
      </w:r>
      <w:r w:rsidR="00820FC3" w:rsidRPr="000451CD">
        <w:rPr>
          <w:b/>
          <w:bCs/>
          <w:color w:val="auto"/>
          <w:sz w:val="28"/>
          <w:szCs w:val="28"/>
        </w:rPr>
        <w:t>8</w:t>
      </w:r>
      <w:r w:rsidR="00E072CB" w:rsidRPr="000451CD">
        <w:rPr>
          <w:b/>
          <w:bCs/>
          <w:color w:val="auto"/>
          <w:sz w:val="28"/>
          <w:szCs w:val="28"/>
        </w:rPr>
        <w:t>,</w:t>
      </w:r>
      <w:r w:rsidR="00820FC3" w:rsidRPr="000451CD">
        <w:rPr>
          <w:b/>
          <w:bCs/>
          <w:color w:val="auto"/>
          <w:sz w:val="28"/>
          <w:szCs w:val="28"/>
        </w:rPr>
        <w:t>391</w:t>
      </w:r>
    </w:p>
    <w:p w14:paraId="40520C17" w14:textId="2973B049" w:rsidR="000451CD" w:rsidRPr="000451CD" w:rsidRDefault="000451CD" w:rsidP="00120AB1">
      <w:pPr>
        <w:rPr>
          <w:b/>
          <w:bCs/>
          <w:color w:val="0070C0"/>
          <w:sz w:val="28"/>
          <w:szCs w:val="28"/>
        </w:rPr>
      </w:pPr>
      <w:r w:rsidRPr="000451CD">
        <w:rPr>
          <w:b/>
          <w:bCs/>
          <w:color w:val="0070C0"/>
          <w:sz w:val="28"/>
          <w:szCs w:val="28"/>
        </w:rPr>
        <w:t xml:space="preserve">2024-2025: £297,121 </w:t>
      </w:r>
    </w:p>
    <w:p w14:paraId="26FFB3B8" w14:textId="77777777" w:rsidR="000451CD" w:rsidRDefault="000451CD" w:rsidP="00120AB1"/>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10343" w:type="dxa"/>
        <w:tblCellMar>
          <w:left w:w="10" w:type="dxa"/>
          <w:right w:w="10" w:type="dxa"/>
        </w:tblCellMar>
        <w:tblLook w:val="04A0" w:firstRow="1" w:lastRow="0" w:firstColumn="1" w:lastColumn="0" w:noHBand="0" w:noVBand="1"/>
      </w:tblPr>
      <w:tblGrid>
        <w:gridCol w:w="10343"/>
      </w:tblGrid>
      <w:tr w:rsidR="00173D4C" w14:paraId="7FB51099" w14:textId="77777777" w:rsidTr="00520C28">
        <w:trPr>
          <w:trHeight w:val="9488"/>
        </w:trPr>
        <w:tc>
          <w:tcPr>
            <w:tcW w:w="103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154D4C" w14:textId="03CB29D5" w:rsidR="00FB32F9" w:rsidRDefault="00C309E7" w:rsidP="00FB32F9">
            <w:pPr>
              <w:rPr>
                <w:color w:val="0070C0"/>
                <w:sz w:val="22"/>
                <w:szCs w:val="22"/>
              </w:rPr>
            </w:pPr>
            <w:r w:rsidRPr="00FB32F9">
              <w:rPr>
                <w:color w:val="0070C0"/>
                <w:sz w:val="22"/>
                <w:szCs w:val="22"/>
              </w:rPr>
              <w:t xml:space="preserve">This details the impact that our pupil premium activity had on pupils in the 2023 to 2024 academic year. </w:t>
            </w:r>
          </w:p>
          <w:p w14:paraId="23444F2B" w14:textId="7BEA6DCA" w:rsidR="00FB32F9" w:rsidRPr="00C309E7" w:rsidRDefault="00C309E7" w:rsidP="00FB32F9">
            <w:pPr>
              <w:rPr>
                <w:color w:val="0070C0"/>
                <w:sz w:val="22"/>
                <w:szCs w:val="22"/>
              </w:rPr>
            </w:pPr>
            <w:r w:rsidRPr="00FB32F9">
              <w:rPr>
                <w:color w:val="0070C0"/>
                <w:sz w:val="22"/>
                <w:szCs w:val="22"/>
                <w:u w:val="single"/>
              </w:rPr>
              <w:t>End of Key Stage 2 Results</w:t>
            </w:r>
          </w:p>
          <w:tbl>
            <w:tblPr>
              <w:tblpPr w:leftFromText="180" w:rightFromText="180" w:vertAnchor="page" w:horzAnchor="margin" w:tblpY="913"/>
              <w:tblOverlap w:val="never"/>
              <w:tblW w:w="9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1985"/>
              <w:gridCol w:w="2000"/>
              <w:gridCol w:w="2000"/>
              <w:gridCol w:w="2000"/>
            </w:tblGrid>
            <w:tr w:rsidR="00FB32F9" w:rsidRPr="00FB32F9" w14:paraId="51689E97" w14:textId="77777777" w:rsidTr="00FB32F9">
              <w:trPr>
                <w:trHeight w:val="185"/>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4CAD5D0"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auto"/>
                      <w:sz w:val="22"/>
                      <w:szCs w:val="22"/>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64796114"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b/>
                      <w:bCs/>
                      <w:color w:val="auto"/>
                      <w:sz w:val="22"/>
                      <w:szCs w:val="22"/>
                    </w:rPr>
                    <w:t xml:space="preserve">At and Above ARE % </w:t>
                  </w:r>
                  <w:r w:rsidRPr="00FB32F9">
                    <w:rPr>
                      <w:rFonts w:ascii="Calibri" w:hAnsi="Calibri" w:cs="Calibri"/>
                      <w:b/>
                      <w:bCs/>
                      <w:color w:val="0070C0"/>
                      <w:sz w:val="22"/>
                      <w:szCs w:val="22"/>
                    </w:rPr>
                    <w:t xml:space="preserve">(% GD) </w:t>
                  </w:r>
                  <w:r w:rsidRPr="00FB32F9">
                    <w:rPr>
                      <w:rFonts w:ascii="Calibri" w:hAnsi="Calibri" w:cs="Calibri"/>
                      <w:b/>
                      <w:bCs/>
                      <w:color w:val="auto"/>
                      <w:sz w:val="22"/>
                      <w:szCs w:val="22"/>
                    </w:rPr>
                    <w:t>Summer 2024</w:t>
                  </w:r>
                  <w:r w:rsidRPr="00FB32F9">
                    <w:rPr>
                      <w:rFonts w:ascii="Calibri" w:hAnsi="Calibri" w:cs="Calibri"/>
                      <w:color w:val="auto"/>
                      <w:sz w:val="22"/>
                      <w:szCs w:val="22"/>
                    </w:rPr>
                    <w:t> </w:t>
                  </w:r>
                </w:p>
              </w:tc>
              <w:tc>
                <w:tcPr>
                  <w:tcW w:w="2000" w:type="dxa"/>
                  <w:tcBorders>
                    <w:top w:val="single" w:sz="6" w:space="0" w:color="auto"/>
                    <w:left w:val="single" w:sz="6" w:space="0" w:color="auto"/>
                    <w:bottom w:val="single" w:sz="6" w:space="0" w:color="auto"/>
                    <w:right w:val="single" w:sz="6" w:space="0" w:color="auto"/>
                  </w:tcBorders>
                  <w:shd w:val="clear" w:color="auto" w:fill="auto"/>
                  <w:hideMark/>
                </w:tcPr>
                <w:p w14:paraId="1F8E3846"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b/>
                      <w:bCs/>
                      <w:color w:val="auto"/>
                      <w:sz w:val="22"/>
                      <w:szCs w:val="22"/>
                    </w:rPr>
                    <w:t>Pupil premium</w:t>
                  </w:r>
                  <w:r w:rsidRPr="00FB32F9">
                    <w:rPr>
                      <w:rFonts w:ascii="Calibri" w:hAnsi="Calibri" w:cs="Calibri"/>
                      <w:color w:val="auto"/>
                      <w:sz w:val="22"/>
                      <w:szCs w:val="22"/>
                    </w:rPr>
                    <w:t>  </w:t>
                  </w:r>
                </w:p>
              </w:tc>
              <w:tc>
                <w:tcPr>
                  <w:tcW w:w="2000" w:type="dxa"/>
                  <w:tcBorders>
                    <w:top w:val="single" w:sz="6" w:space="0" w:color="auto"/>
                    <w:left w:val="single" w:sz="6" w:space="0" w:color="auto"/>
                    <w:bottom w:val="single" w:sz="6" w:space="0" w:color="auto"/>
                    <w:right w:val="single" w:sz="6" w:space="0" w:color="auto"/>
                  </w:tcBorders>
                  <w:shd w:val="clear" w:color="auto" w:fill="auto"/>
                  <w:hideMark/>
                </w:tcPr>
                <w:p w14:paraId="2E11A082"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b/>
                      <w:bCs/>
                      <w:color w:val="auto"/>
                      <w:sz w:val="22"/>
                      <w:szCs w:val="22"/>
                    </w:rPr>
                    <w:t>Non pupil premium</w:t>
                  </w:r>
                  <w:r w:rsidRPr="00FB32F9">
                    <w:rPr>
                      <w:rFonts w:ascii="Calibri" w:hAnsi="Calibri" w:cs="Calibri"/>
                      <w:color w:val="auto"/>
                      <w:sz w:val="22"/>
                      <w:szCs w:val="22"/>
                    </w:rPr>
                    <w:t>  </w:t>
                  </w:r>
                </w:p>
              </w:tc>
              <w:tc>
                <w:tcPr>
                  <w:tcW w:w="2000" w:type="dxa"/>
                  <w:tcBorders>
                    <w:top w:val="single" w:sz="6" w:space="0" w:color="auto"/>
                    <w:left w:val="single" w:sz="6" w:space="0" w:color="auto"/>
                    <w:bottom w:val="single" w:sz="6" w:space="0" w:color="auto"/>
                    <w:right w:val="single" w:sz="6" w:space="0" w:color="auto"/>
                  </w:tcBorders>
                  <w:shd w:val="clear" w:color="auto" w:fill="auto"/>
                  <w:hideMark/>
                </w:tcPr>
                <w:p w14:paraId="75477536"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b/>
                      <w:bCs/>
                      <w:color w:val="auto"/>
                      <w:sz w:val="22"/>
                      <w:szCs w:val="22"/>
                    </w:rPr>
                    <w:t>Difference</w:t>
                  </w:r>
                  <w:r w:rsidRPr="00FB32F9">
                    <w:rPr>
                      <w:rFonts w:ascii="Calibri" w:hAnsi="Calibri" w:cs="Calibri"/>
                      <w:color w:val="auto"/>
                      <w:sz w:val="22"/>
                      <w:szCs w:val="22"/>
                    </w:rPr>
                    <w:t> </w:t>
                  </w:r>
                </w:p>
              </w:tc>
            </w:tr>
            <w:tr w:rsidR="00FB32F9" w:rsidRPr="00FB32F9" w14:paraId="46029C31" w14:textId="77777777" w:rsidTr="00FB32F9">
              <w:trPr>
                <w:trHeight w:val="185"/>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598D801"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b/>
                      <w:bCs/>
                      <w:color w:val="auto"/>
                      <w:sz w:val="22"/>
                      <w:szCs w:val="22"/>
                    </w:rPr>
                    <w:t>Reading</w:t>
                  </w:r>
                  <w:r w:rsidRPr="00FB32F9">
                    <w:rPr>
                      <w:rFonts w:ascii="Calibri" w:hAnsi="Calibri" w:cs="Calibri"/>
                      <w:color w:val="auto"/>
                      <w:sz w:val="22"/>
                      <w:szCs w:val="22"/>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3A36D56"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auto"/>
                      <w:sz w:val="22"/>
                      <w:szCs w:val="22"/>
                    </w:rPr>
                    <w:t xml:space="preserve">65% </w:t>
                  </w:r>
                  <w:r w:rsidRPr="00FB32F9">
                    <w:rPr>
                      <w:rFonts w:ascii="Calibri" w:hAnsi="Calibri" w:cs="Calibri"/>
                      <w:color w:val="0070C0"/>
                      <w:sz w:val="22"/>
                      <w:szCs w:val="22"/>
                    </w:rPr>
                    <w:t>(19% GD)  </w:t>
                  </w:r>
                </w:p>
                <w:p w14:paraId="6FA66750"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auto"/>
                      <w:sz w:val="22"/>
                      <w:szCs w:val="22"/>
                    </w:rPr>
                    <w:t>30/46 </w:t>
                  </w:r>
                </w:p>
              </w:tc>
              <w:tc>
                <w:tcPr>
                  <w:tcW w:w="2000" w:type="dxa"/>
                  <w:tcBorders>
                    <w:top w:val="single" w:sz="6" w:space="0" w:color="auto"/>
                    <w:left w:val="single" w:sz="6" w:space="0" w:color="auto"/>
                    <w:bottom w:val="single" w:sz="6" w:space="0" w:color="auto"/>
                    <w:right w:val="single" w:sz="6" w:space="0" w:color="auto"/>
                  </w:tcBorders>
                  <w:shd w:val="clear" w:color="auto" w:fill="auto"/>
                  <w:hideMark/>
                </w:tcPr>
                <w:p w14:paraId="5DD6578E"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auto"/>
                      <w:sz w:val="22"/>
                      <w:szCs w:val="22"/>
                    </w:rPr>
                    <w:t xml:space="preserve">58% </w:t>
                  </w:r>
                  <w:r w:rsidRPr="00FB32F9">
                    <w:rPr>
                      <w:rFonts w:ascii="Calibri" w:hAnsi="Calibri" w:cs="Calibri"/>
                      <w:color w:val="0070C0"/>
                      <w:sz w:val="22"/>
                      <w:szCs w:val="22"/>
                    </w:rPr>
                    <w:t>(5% GD)  </w:t>
                  </w:r>
                </w:p>
                <w:p w14:paraId="02E9C738"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auto"/>
                      <w:sz w:val="22"/>
                      <w:szCs w:val="22"/>
                    </w:rPr>
                    <w:t>11/19 </w:t>
                  </w:r>
                </w:p>
              </w:tc>
              <w:tc>
                <w:tcPr>
                  <w:tcW w:w="2000" w:type="dxa"/>
                  <w:tcBorders>
                    <w:top w:val="single" w:sz="6" w:space="0" w:color="auto"/>
                    <w:left w:val="single" w:sz="6" w:space="0" w:color="auto"/>
                    <w:bottom w:val="single" w:sz="6" w:space="0" w:color="auto"/>
                    <w:right w:val="single" w:sz="6" w:space="0" w:color="auto"/>
                  </w:tcBorders>
                  <w:shd w:val="clear" w:color="auto" w:fill="auto"/>
                  <w:hideMark/>
                </w:tcPr>
                <w:p w14:paraId="5D8C60A5"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auto"/>
                      <w:sz w:val="22"/>
                      <w:szCs w:val="22"/>
                    </w:rPr>
                    <w:t xml:space="preserve">70% </w:t>
                  </w:r>
                  <w:r w:rsidRPr="00FB32F9">
                    <w:rPr>
                      <w:rFonts w:ascii="Calibri" w:hAnsi="Calibri" w:cs="Calibri"/>
                      <w:color w:val="0070C0"/>
                      <w:sz w:val="22"/>
                      <w:szCs w:val="22"/>
                    </w:rPr>
                    <w:t>(29% GD)  </w:t>
                  </w:r>
                </w:p>
                <w:p w14:paraId="6D6487B6"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auto"/>
                      <w:sz w:val="22"/>
                      <w:szCs w:val="22"/>
                    </w:rPr>
                    <w:t>19/27 </w:t>
                  </w:r>
                </w:p>
              </w:tc>
              <w:tc>
                <w:tcPr>
                  <w:tcW w:w="2000" w:type="dxa"/>
                  <w:tcBorders>
                    <w:top w:val="single" w:sz="6" w:space="0" w:color="auto"/>
                    <w:left w:val="single" w:sz="6" w:space="0" w:color="auto"/>
                    <w:bottom w:val="single" w:sz="6" w:space="0" w:color="auto"/>
                    <w:right w:val="single" w:sz="6" w:space="0" w:color="auto"/>
                  </w:tcBorders>
                  <w:shd w:val="clear" w:color="auto" w:fill="auto"/>
                  <w:hideMark/>
                </w:tcPr>
                <w:p w14:paraId="44B745EE"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proofErr w:type="gramStart"/>
                  <w:r w:rsidRPr="00FB32F9">
                    <w:rPr>
                      <w:rFonts w:ascii="Calibri" w:hAnsi="Calibri" w:cs="Calibri"/>
                      <w:color w:val="auto"/>
                      <w:sz w:val="22"/>
                      <w:szCs w:val="22"/>
                    </w:rPr>
                    <w:t>Non PP</w:t>
                  </w:r>
                  <w:proofErr w:type="gramEnd"/>
                  <w:r w:rsidRPr="00FB32F9">
                    <w:rPr>
                      <w:rFonts w:ascii="Calibri" w:hAnsi="Calibri" w:cs="Calibri"/>
                      <w:color w:val="auto"/>
                      <w:sz w:val="22"/>
                      <w:szCs w:val="22"/>
                    </w:rPr>
                    <w:t xml:space="preserve"> + 12% </w:t>
                  </w:r>
                </w:p>
              </w:tc>
            </w:tr>
            <w:tr w:rsidR="00FB32F9" w:rsidRPr="00FB32F9" w14:paraId="4D282F2A" w14:textId="77777777" w:rsidTr="00FB32F9">
              <w:trPr>
                <w:trHeight w:val="185"/>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6D2EF0BE"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b/>
                      <w:bCs/>
                      <w:color w:val="000000"/>
                      <w:sz w:val="22"/>
                      <w:szCs w:val="22"/>
                      <w:shd w:val="clear" w:color="auto" w:fill="FFFFFF"/>
                    </w:rPr>
                    <w:t>GPS</w:t>
                  </w:r>
                  <w:r w:rsidRPr="00FB32F9">
                    <w:rPr>
                      <w:rFonts w:ascii="Calibri" w:hAnsi="Calibri" w:cs="Calibri"/>
                      <w:color w:val="000000"/>
                      <w:sz w:val="22"/>
                      <w:szCs w:val="22"/>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CD6AD46"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000000"/>
                      <w:sz w:val="22"/>
                      <w:szCs w:val="22"/>
                      <w:shd w:val="clear" w:color="auto" w:fill="FFFFFF"/>
                    </w:rPr>
                    <w:t xml:space="preserve">70% </w:t>
                  </w:r>
                  <w:r w:rsidRPr="00FB32F9">
                    <w:rPr>
                      <w:rFonts w:ascii="Calibri" w:hAnsi="Calibri" w:cs="Calibri"/>
                      <w:color w:val="4472C4"/>
                      <w:sz w:val="22"/>
                      <w:szCs w:val="22"/>
                      <w:shd w:val="clear" w:color="auto" w:fill="FFFFFF"/>
                    </w:rPr>
                    <w:t>(22% GD)</w:t>
                  </w:r>
                  <w:r w:rsidRPr="00FB32F9">
                    <w:rPr>
                      <w:rFonts w:ascii="Calibri" w:hAnsi="Calibri" w:cs="Calibri"/>
                      <w:color w:val="4472C4"/>
                      <w:sz w:val="22"/>
                      <w:szCs w:val="22"/>
                    </w:rPr>
                    <w:t> </w:t>
                  </w:r>
                </w:p>
                <w:p w14:paraId="12C220D6"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000000"/>
                      <w:sz w:val="22"/>
                      <w:szCs w:val="22"/>
                      <w:shd w:val="clear" w:color="auto" w:fill="FFFFFF"/>
                    </w:rPr>
                    <w:t>32/46</w:t>
                  </w:r>
                  <w:r w:rsidRPr="00FB32F9">
                    <w:rPr>
                      <w:rFonts w:ascii="Calibri" w:hAnsi="Calibri" w:cs="Calibri"/>
                      <w:color w:val="000000"/>
                      <w:sz w:val="22"/>
                      <w:szCs w:val="22"/>
                    </w:rPr>
                    <w:t> </w:t>
                  </w:r>
                </w:p>
              </w:tc>
              <w:tc>
                <w:tcPr>
                  <w:tcW w:w="2000" w:type="dxa"/>
                  <w:tcBorders>
                    <w:top w:val="single" w:sz="6" w:space="0" w:color="auto"/>
                    <w:left w:val="single" w:sz="6" w:space="0" w:color="auto"/>
                    <w:bottom w:val="single" w:sz="6" w:space="0" w:color="auto"/>
                    <w:right w:val="single" w:sz="6" w:space="0" w:color="auto"/>
                  </w:tcBorders>
                  <w:shd w:val="clear" w:color="auto" w:fill="auto"/>
                  <w:hideMark/>
                </w:tcPr>
                <w:p w14:paraId="3C727361"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000000"/>
                      <w:sz w:val="22"/>
                      <w:szCs w:val="22"/>
                      <w:shd w:val="clear" w:color="auto" w:fill="FFFFFF"/>
                    </w:rPr>
                    <w:t xml:space="preserve">63% </w:t>
                  </w:r>
                  <w:r w:rsidRPr="00FB32F9">
                    <w:rPr>
                      <w:rFonts w:ascii="Calibri" w:hAnsi="Calibri" w:cs="Calibri"/>
                      <w:color w:val="4472C4"/>
                      <w:sz w:val="22"/>
                      <w:szCs w:val="22"/>
                      <w:shd w:val="clear" w:color="auto" w:fill="FFFFFF"/>
                    </w:rPr>
                    <w:t>(16% GD)</w:t>
                  </w:r>
                  <w:r w:rsidRPr="00FB32F9">
                    <w:rPr>
                      <w:rFonts w:ascii="Calibri" w:hAnsi="Calibri" w:cs="Calibri"/>
                      <w:color w:val="4472C4"/>
                      <w:sz w:val="22"/>
                      <w:szCs w:val="22"/>
                    </w:rPr>
                    <w:t> </w:t>
                  </w:r>
                </w:p>
                <w:p w14:paraId="0DC12E94"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000000"/>
                      <w:sz w:val="22"/>
                      <w:szCs w:val="22"/>
                      <w:shd w:val="clear" w:color="auto" w:fill="FFFFFF"/>
                    </w:rPr>
                    <w:t>12/19</w:t>
                  </w:r>
                  <w:r w:rsidRPr="00FB32F9">
                    <w:rPr>
                      <w:rFonts w:ascii="Calibri" w:hAnsi="Calibri" w:cs="Calibri"/>
                      <w:color w:val="000000"/>
                      <w:sz w:val="22"/>
                      <w:szCs w:val="22"/>
                    </w:rPr>
                    <w:t> </w:t>
                  </w:r>
                </w:p>
              </w:tc>
              <w:tc>
                <w:tcPr>
                  <w:tcW w:w="2000" w:type="dxa"/>
                  <w:tcBorders>
                    <w:top w:val="single" w:sz="6" w:space="0" w:color="auto"/>
                    <w:left w:val="single" w:sz="6" w:space="0" w:color="auto"/>
                    <w:bottom w:val="single" w:sz="6" w:space="0" w:color="auto"/>
                    <w:right w:val="single" w:sz="6" w:space="0" w:color="auto"/>
                  </w:tcBorders>
                  <w:shd w:val="clear" w:color="auto" w:fill="auto"/>
                  <w:hideMark/>
                </w:tcPr>
                <w:p w14:paraId="47248B2E"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000000"/>
                      <w:sz w:val="22"/>
                      <w:szCs w:val="22"/>
                      <w:shd w:val="clear" w:color="auto" w:fill="FFFFFF"/>
                    </w:rPr>
                    <w:t>74% (27% GD)</w:t>
                  </w:r>
                  <w:r w:rsidRPr="00FB32F9">
                    <w:rPr>
                      <w:rFonts w:ascii="Calibri" w:hAnsi="Calibri" w:cs="Calibri"/>
                      <w:color w:val="000000"/>
                      <w:sz w:val="22"/>
                      <w:szCs w:val="22"/>
                    </w:rPr>
                    <w:t> </w:t>
                  </w:r>
                </w:p>
                <w:p w14:paraId="5FFC2C04"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000000"/>
                      <w:sz w:val="22"/>
                      <w:szCs w:val="22"/>
                      <w:shd w:val="clear" w:color="auto" w:fill="FFFFFF"/>
                    </w:rPr>
                    <w:t>20/27</w:t>
                  </w:r>
                  <w:r w:rsidRPr="00FB32F9">
                    <w:rPr>
                      <w:rFonts w:ascii="Calibri" w:hAnsi="Calibri" w:cs="Calibri"/>
                      <w:color w:val="000000"/>
                      <w:sz w:val="22"/>
                      <w:szCs w:val="22"/>
                    </w:rPr>
                    <w:t> </w:t>
                  </w:r>
                </w:p>
              </w:tc>
              <w:tc>
                <w:tcPr>
                  <w:tcW w:w="2000" w:type="dxa"/>
                  <w:tcBorders>
                    <w:top w:val="single" w:sz="6" w:space="0" w:color="auto"/>
                    <w:left w:val="single" w:sz="6" w:space="0" w:color="auto"/>
                    <w:bottom w:val="single" w:sz="6" w:space="0" w:color="auto"/>
                    <w:right w:val="single" w:sz="6" w:space="0" w:color="auto"/>
                  </w:tcBorders>
                  <w:shd w:val="clear" w:color="auto" w:fill="auto"/>
                  <w:hideMark/>
                </w:tcPr>
                <w:p w14:paraId="68317A28"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proofErr w:type="gramStart"/>
                  <w:r w:rsidRPr="00FB32F9">
                    <w:rPr>
                      <w:rFonts w:ascii="Calibri" w:hAnsi="Calibri" w:cs="Calibri"/>
                      <w:color w:val="000000"/>
                      <w:sz w:val="22"/>
                      <w:szCs w:val="22"/>
                      <w:shd w:val="clear" w:color="auto" w:fill="FFFFFF"/>
                    </w:rPr>
                    <w:t>Non PP</w:t>
                  </w:r>
                  <w:proofErr w:type="gramEnd"/>
                  <w:r w:rsidRPr="00FB32F9">
                    <w:rPr>
                      <w:rFonts w:ascii="Calibri" w:hAnsi="Calibri" w:cs="Calibri"/>
                      <w:color w:val="000000"/>
                      <w:sz w:val="22"/>
                      <w:szCs w:val="22"/>
                      <w:shd w:val="clear" w:color="auto" w:fill="FFFFFF"/>
                    </w:rPr>
                    <w:t xml:space="preserve"> +11%</w:t>
                  </w:r>
                  <w:r w:rsidRPr="00FB32F9">
                    <w:rPr>
                      <w:rFonts w:ascii="Calibri" w:hAnsi="Calibri" w:cs="Calibri"/>
                      <w:color w:val="000000"/>
                      <w:sz w:val="22"/>
                      <w:szCs w:val="22"/>
                    </w:rPr>
                    <w:t> </w:t>
                  </w:r>
                </w:p>
              </w:tc>
            </w:tr>
            <w:tr w:rsidR="00FB32F9" w:rsidRPr="00FB32F9" w14:paraId="71CC62DB" w14:textId="77777777" w:rsidTr="00FB32F9">
              <w:trPr>
                <w:trHeight w:val="185"/>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9A647E9"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b/>
                      <w:bCs/>
                      <w:color w:val="000000"/>
                      <w:sz w:val="22"/>
                      <w:szCs w:val="22"/>
                      <w:shd w:val="clear" w:color="auto" w:fill="FFFFFF"/>
                    </w:rPr>
                    <w:t>Mathematics</w:t>
                  </w:r>
                  <w:r w:rsidRPr="00FB32F9">
                    <w:rPr>
                      <w:rFonts w:ascii="Calibri" w:hAnsi="Calibri" w:cs="Calibri"/>
                      <w:color w:val="000000"/>
                      <w:sz w:val="22"/>
                      <w:szCs w:val="22"/>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B216D78"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auto"/>
                      <w:sz w:val="22"/>
                      <w:szCs w:val="22"/>
                    </w:rPr>
                    <w:t>74%</w:t>
                  </w:r>
                  <w:r w:rsidRPr="00FB32F9">
                    <w:rPr>
                      <w:rFonts w:ascii="Calibri" w:hAnsi="Calibri" w:cs="Calibri"/>
                      <w:color w:val="0070C0"/>
                      <w:sz w:val="22"/>
                      <w:szCs w:val="22"/>
                    </w:rPr>
                    <w:t xml:space="preserve"> (19% GD)  </w:t>
                  </w:r>
                </w:p>
                <w:p w14:paraId="6C71546E"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auto"/>
                      <w:sz w:val="22"/>
                      <w:szCs w:val="22"/>
                    </w:rPr>
                    <w:t>34/46 </w:t>
                  </w:r>
                </w:p>
              </w:tc>
              <w:tc>
                <w:tcPr>
                  <w:tcW w:w="2000" w:type="dxa"/>
                  <w:tcBorders>
                    <w:top w:val="single" w:sz="6" w:space="0" w:color="auto"/>
                    <w:left w:val="single" w:sz="6" w:space="0" w:color="auto"/>
                    <w:bottom w:val="single" w:sz="6" w:space="0" w:color="auto"/>
                    <w:right w:val="single" w:sz="6" w:space="0" w:color="auto"/>
                  </w:tcBorders>
                  <w:shd w:val="clear" w:color="auto" w:fill="auto"/>
                  <w:hideMark/>
                </w:tcPr>
                <w:p w14:paraId="52C0F6DF"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auto"/>
                      <w:sz w:val="22"/>
                      <w:szCs w:val="22"/>
                    </w:rPr>
                    <w:t xml:space="preserve">58% </w:t>
                  </w:r>
                  <w:r w:rsidRPr="00FB32F9">
                    <w:rPr>
                      <w:rFonts w:ascii="Calibri" w:hAnsi="Calibri" w:cs="Calibri"/>
                      <w:color w:val="0070C0"/>
                      <w:sz w:val="22"/>
                      <w:szCs w:val="22"/>
                    </w:rPr>
                    <w:t>(11% GD)  </w:t>
                  </w:r>
                </w:p>
                <w:p w14:paraId="4FCBAD0A"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auto"/>
                      <w:sz w:val="22"/>
                      <w:szCs w:val="22"/>
                    </w:rPr>
                    <w:t>11/19 </w:t>
                  </w:r>
                </w:p>
              </w:tc>
              <w:tc>
                <w:tcPr>
                  <w:tcW w:w="2000" w:type="dxa"/>
                  <w:tcBorders>
                    <w:top w:val="single" w:sz="6" w:space="0" w:color="auto"/>
                    <w:left w:val="single" w:sz="6" w:space="0" w:color="auto"/>
                    <w:bottom w:val="single" w:sz="6" w:space="0" w:color="auto"/>
                    <w:right w:val="single" w:sz="6" w:space="0" w:color="auto"/>
                  </w:tcBorders>
                  <w:shd w:val="clear" w:color="auto" w:fill="auto"/>
                  <w:hideMark/>
                </w:tcPr>
                <w:p w14:paraId="53BA4547"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auto"/>
                      <w:sz w:val="22"/>
                      <w:szCs w:val="22"/>
                    </w:rPr>
                    <w:t xml:space="preserve">85% </w:t>
                  </w:r>
                  <w:r w:rsidRPr="00FB32F9">
                    <w:rPr>
                      <w:rFonts w:ascii="Calibri" w:hAnsi="Calibri" w:cs="Calibri"/>
                      <w:color w:val="0070C0"/>
                      <w:sz w:val="22"/>
                      <w:szCs w:val="22"/>
                    </w:rPr>
                    <w:t>(25% GD)  </w:t>
                  </w:r>
                </w:p>
                <w:p w14:paraId="2C009D2B"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auto"/>
                      <w:sz w:val="22"/>
                      <w:szCs w:val="22"/>
                    </w:rPr>
                    <w:t>23/27 </w:t>
                  </w:r>
                </w:p>
              </w:tc>
              <w:tc>
                <w:tcPr>
                  <w:tcW w:w="2000" w:type="dxa"/>
                  <w:tcBorders>
                    <w:top w:val="single" w:sz="6" w:space="0" w:color="auto"/>
                    <w:left w:val="single" w:sz="6" w:space="0" w:color="auto"/>
                    <w:bottom w:val="single" w:sz="6" w:space="0" w:color="auto"/>
                    <w:right w:val="single" w:sz="6" w:space="0" w:color="auto"/>
                  </w:tcBorders>
                  <w:shd w:val="clear" w:color="auto" w:fill="auto"/>
                  <w:hideMark/>
                </w:tcPr>
                <w:p w14:paraId="2E9A5570"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proofErr w:type="gramStart"/>
                  <w:r w:rsidRPr="00FB32F9">
                    <w:rPr>
                      <w:rFonts w:ascii="Calibri" w:hAnsi="Calibri" w:cs="Calibri"/>
                      <w:color w:val="auto"/>
                      <w:sz w:val="22"/>
                      <w:szCs w:val="22"/>
                    </w:rPr>
                    <w:t>Non PP</w:t>
                  </w:r>
                  <w:proofErr w:type="gramEnd"/>
                  <w:r w:rsidRPr="00FB32F9">
                    <w:rPr>
                      <w:rFonts w:ascii="Calibri" w:hAnsi="Calibri" w:cs="Calibri"/>
                      <w:color w:val="auto"/>
                      <w:sz w:val="22"/>
                      <w:szCs w:val="22"/>
                    </w:rPr>
                    <w:t xml:space="preserve"> +27% </w:t>
                  </w:r>
                </w:p>
              </w:tc>
            </w:tr>
            <w:tr w:rsidR="00FB32F9" w:rsidRPr="00FB32F9" w14:paraId="7932DA07" w14:textId="77777777" w:rsidTr="00FB32F9">
              <w:trPr>
                <w:trHeight w:val="185"/>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8F95C1A"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b/>
                      <w:bCs/>
                      <w:color w:val="000000"/>
                      <w:sz w:val="22"/>
                      <w:szCs w:val="22"/>
                      <w:shd w:val="clear" w:color="auto" w:fill="FFFFFF"/>
                    </w:rPr>
                    <w:t>Writing</w:t>
                  </w:r>
                  <w:r w:rsidRPr="00FB32F9">
                    <w:rPr>
                      <w:rFonts w:ascii="Calibri" w:hAnsi="Calibri" w:cs="Calibri"/>
                      <w:color w:val="000000"/>
                      <w:sz w:val="22"/>
                      <w:szCs w:val="22"/>
                    </w:rPr>
                    <w:t> </w:t>
                  </w:r>
                </w:p>
                <w:p w14:paraId="214F24B1"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b/>
                      <w:bCs/>
                      <w:color w:val="000000"/>
                      <w:sz w:val="22"/>
                      <w:szCs w:val="22"/>
                      <w:shd w:val="clear" w:color="auto" w:fill="FFFFFF"/>
                    </w:rPr>
                    <w:t>(Teacher Assessment)</w:t>
                  </w:r>
                  <w:r w:rsidRPr="00FB32F9">
                    <w:rPr>
                      <w:rFonts w:ascii="Calibri" w:hAnsi="Calibri" w:cs="Calibri"/>
                      <w:color w:val="000000"/>
                      <w:sz w:val="22"/>
                      <w:szCs w:val="22"/>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743F6C92"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auto"/>
                      <w:sz w:val="22"/>
                      <w:szCs w:val="22"/>
                    </w:rPr>
                    <w:t xml:space="preserve">72% </w:t>
                  </w:r>
                  <w:r w:rsidRPr="00FB32F9">
                    <w:rPr>
                      <w:rFonts w:ascii="Calibri" w:hAnsi="Calibri" w:cs="Calibri"/>
                      <w:color w:val="0070C0"/>
                      <w:sz w:val="22"/>
                      <w:szCs w:val="22"/>
                    </w:rPr>
                    <w:t>(23% GD)  </w:t>
                  </w:r>
                </w:p>
                <w:p w14:paraId="403507D0"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auto"/>
                      <w:sz w:val="22"/>
                      <w:szCs w:val="22"/>
                    </w:rPr>
                    <w:t>33/46 </w:t>
                  </w:r>
                </w:p>
              </w:tc>
              <w:tc>
                <w:tcPr>
                  <w:tcW w:w="2000" w:type="dxa"/>
                  <w:tcBorders>
                    <w:top w:val="single" w:sz="6" w:space="0" w:color="auto"/>
                    <w:left w:val="single" w:sz="6" w:space="0" w:color="auto"/>
                    <w:bottom w:val="single" w:sz="6" w:space="0" w:color="auto"/>
                    <w:right w:val="single" w:sz="6" w:space="0" w:color="auto"/>
                  </w:tcBorders>
                  <w:shd w:val="clear" w:color="auto" w:fill="auto"/>
                  <w:hideMark/>
                </w:tcPr>
                <w:p w14:paraId="4D798A42"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auto"/>
                      <w:sz w:val="22"/>
                      <w:szCs w:val="22"/>
                    </w:rPr>
                    <w:t xml:space="preserve">63% </w:t>
                  </w:r>
                  <w:r w:rsidRPr="00FB32F9">
                    <w:rPr>
                      <w:rFonts w:ascii="Calibri" w:hAnsi="Calibri" w:cs="Calibri"/>
                      <w:color w:val="4472C4"/>
                      <w:sz w:val="22"/>
                      <w:szCs w:val="22"/>
                    </w:rPr>
                    <w:t>(11% GD)  </w:t>
                  </w:r>
                </w:p>
                <w:p w14:paraId="4AB9DBB2"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auto"/>
                      <w:sz w:val="22"/>
                      <w:szCs w:val="22"/>
                    </w:rPr>
                    <w:t>12/19 </w:t>
                  </w:r>
                </w:p>
              </w:tc>
              <w:tc>
                <w:tcPr>
                  <w:tcW w:w="2000" w:type="dxa"/>
                  <w:tcBorders>
                    <w:top w:val="single" w:sz="6" w:space="0" w:color="auto"/>
                    <w:left w:val="single" w:sz="6" w:space="0" w:color="auto"/>
                    <w:bottom w:val="single" w:sz="6" w:space="0" w:color="auto"/>
                    <w:right w:val="single" w:sz="6" w:space="0" w:color="auto"/>
                  </w:tcBorders>
                  <w:shd w:val="clear" w:color="auto" w:fill="auto"/>
                  <w:hideMark/>
                </w:tcPr>
                <w:p w14:paraId="572E0DB6"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auto"/>
                      <w:sz w:val="22"/>
                      <w:szCs w:val="22"/>
                    </w:rPr>
                    <w:t xml:space="preserve">78% </w:t>
                  </w:r>
                  <w:r w:rsidRPr="00FB32F9">
                    <w:rPr>
                      <w:rFonts w:ascii="Calibri" w:hAnsi="Calibri" w:cs="Calibri"/>
                      <w:color w:val="4472C4"/>
                      <w:sz w:val="22"/>
                      <w:szCs w:val="22"/>
                    </w:rPr>
                    <w:t>(33% GD)  </w:t>
                  </w:r>
                </w:p>
                <w:p w14:paraId="1CD0D4FD"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auto"/>
                      <w:sz w:val="22"/>
                      <w:szCs w:val="22"/>
                    </w:rPr>
                    <w:t>21/27 </w:t>
                  </w:r>
                </w:p>
              </w:tc>
              <w:tc>
                <w:tcPr>
                  <w:tcW w:w="2000" w:type="dxa"/>
                  <w:tcBorders>
                    <w:top w:val="single" w:sz="6" w:space="0" w:color="auto"/>
                    <w:left w:val="single" w:sz="6" w:space="0" w:color="auto"/>
                    <w:bottom w:val="single" w:sz="6" w:space="0" w:color="auto"/>
                    <w:right w:val="single" w:sz="6" w:space="0" w:color="auto"/>
                  </w:tcBorders>
                  <w:shd w:val="clear" w:color="auto" w:fill="auto"/>
                  <w:hideMark/>
                </w:tcPr>
                <w:p w14:paraId="1287A788"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proofErr w:type="gramStart"/>
                  <w:r w:rsidRPr="00FB32F9">
                    <w:rPr>
                      <w:rFonts w:ascii="Calibri" w:hAnsi="Calibri" w:cs="Calibri"/>
                      <w:color w:val="auto"/>
                      <w:sz w:val="22"/>
                      <w:szCs w:val="22"/>
                    </w:rPr>
                    <w:t>Non PP</w:t>
                  </w:r>
                  <w:proofErr w:type="gramEnd"/>
                  <w:r w:rsidRPr="00FB32F9">
                    <w:rPr>
                      <w:rFonts w:ascii="Calibri" w:hAnsi="Calibri" w:cs="Calibri"/>
                      <w:color w:val="auto"/>
                      <w:sz w:val="22"/>
                      <w:szCs w:val="22"/>
                    </w:rPr>
                    <w:t xml:space="preserve"> +15% </w:t>
                  </w:r>
                </w:p>
              </w:tc>
            </w:tr>
            <w:tr w:rsidR="00FB32F9" w:rsidRPr="00FB32F9" w14:paraId="25BFA4DF" w14:textId="77777777" w:rsidTr="00FB32F9">
              <w:trPr>
                <w:trHeight w:val="185"/>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2EE345A4"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b/>
                      <w:bCs/>
                      <w:color w:val="000000"/>
                      <w:sz w:val="22"/>
                      <w:szCs w:val="22"/>
                      <w:shd w:val="clear" w:color="auto" w:fill="FFFFFF"/>
                    </w:rPr>
                    <w:t>RWM Combined</w:t>
                  </w:r>
                  <w:r w:rsidRPr="00FB32F9">
                    <w:rPr>
                      <w:rFonts w:ascii="Calibri" w:hAnsi="Calibri" w:cs="Calibri"/>
                      <w:color w:val="000000"/>
                      <w:sz w:val="22"/>
                      <w:szCs w:val="22"/>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5FF36B3C"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auto"/>
                      <w:sz w:val="22"/>
                      <w:szCs w:val="22"/>
                    </w:rPr>
                    <w:t>57%  </w:t>
                  </w:r>
                </w:p>
                <w:p w14:paraId="1865C1A7"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Segoe UI" w:hAnsi="Segoe UI" w:cs="Segoe UI"/>
                      <w:color w:val="auto"/>
                      <w:sz w:val="18"/>
                      <w:szCs w:val="18"/>
                    </w:rPr>
                    <w:t>26/46 </w:t>
                  </w:r>
                </w:p>
              </w:tc>
              <w:tc>
                <w:tcPr>
                  <w:tcW w:w="2000" w:type="dxa"/>
                  <w:tcBorders>
                    <w:top w:val="single" w:sz="6" w:space="0" w:color="auto"/>
                    <w:left w:val="single" w:sz="6" w:space="0" w:color="auto"/>
                    <w:bottom w:val="single" w:sz="6" w:space="0" w:color="auto"/>
                    <w:right w:val="single" w:sz="6" w:space="0" w:color="auto"/>
                  </w:tcBorders>
                  <w:shd w:val="clear" w:color="auto" w:fill="auto"/>
                  <w:hideMark/>
                </w:tcPr>
                <w:p w14:paraId="12C2E9E1"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auto"/>
                      <w:sz w:val="22"/>
                      <w:szCs w:val="22"/>
                    </w:rPr>
                    <w:t>47%  </w:t>
                  </w:r>
                </w:p>
                <w:p w14:paraId="5A9317C8"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Segoe UI" w:hAnsi="Segoe UI" w:cs="Segoe UI"/>
                      <w:color w:val="auto"/>
                      <w:sz w:val="18"/>
                      <w:szCs w:val="18"/>
                    </w:rPr>
                    <w:t>9/19 </w:t>
                  </w:r>
                </w:p>
              </w:tc>
              <w:tc>
                <w:tcPr>
                  <w:tcW w:w="2000" w:type="dxa"/>
                  <w:tcBorders>
                    <w:top w:val="single" w:sz="6" w:space="0" w:color="auto"/>
                    <w:left w:val="single" w:sz="6" w:space="0" w:color="auto"/>
                    <w:bottom w:val="single" w:sz="6" w:space="0" w:color="auto"/>
                    <w:right w:val="single" w:sz="6" w:space="0" w:color="auto"/>
                  </w:tcBorders>
                  <w:shd w:val="clear" w:color="auto" w:fill="auto"/>
                  <w:hideMark/>
                </w:tcPr>
                <w:p w14:paraId="58043297"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Calibri" w:hAnsi="Calibri" w:cs="Calibri"/>
                      <w:color w:val="auto"/>
                      <w:sz w:val="22"/>
                      <w:szCs w:val="22"/>
                    </w:rPr>
                    <w:t>63%  </w:t>
                  </w:r>
                </w:p>
                <w:p w14:paraId="3415AA04"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r w:rsidRPr="00FB32F9">
                    <w:rPr>
                      <w:rFonts w:ascii="Segoe UI" w:hAnsi="Segoe UI" w:cs="Segoe UI"/>
                      <w:color w:val="auto"/>
                      <w:sz w:val="18"/>
                      <w:szCs w:val="18"/>
                    </w:rPr>
                    <w:t>17/27 </w:t>
                  </w:r>
                </w:p>
              </w:tc>
              <w:tc>
                <w:tcPr>
                  <w:tcW w:w="2000" w:type="dxa"/>
                  <w:tcBorders>
                    <w:top w:val="single" w:sz="6" w:space="0" w:color="auto"/>
                    <w:left w:val="single" w:sz="6" w:space="0" w:color="auto"/>
                    <w:bottom w:val="single" w:sz="6" w:space="0" w:color="auto"/>
                    <w:right w:val="single" w:sz="6" w:space="0" w:color="auto"/>
                  </w:tcBorders>
                  <w:shd w:val="clear" w:color="auto" w:fill="auto"/>
                  <w:hideMark/>
                </w:tcPr>
                <w:p w14:paraId="3E282927" w14:textId="77777777" w:rsidR="00FB32F9" w:rsidRPr="00FB32F9" w:rsidRDefault="00FB32F9" w:rsidP="00FB32F9">
                  <w:pPr>
                    <w:suppressAutoHyphens w:val="0"/>
                    <w:autoSpaceDN/>
                    <w:spacing w:after="0" w:line="240" w:lineRule="auto"/>
                    <w:jc w:val="center"/>
                    <w:textAlignment w:val="baseline"/>
                    <w:rPr>
                      <w:rFonts w:ascii="Segoe UI" w:hAnsi="Segoe UI" w:cs="Segoe UI"/>
                      <w:color w:val="auto"/>
                      <w:sz w:val="18"/>
                      <w:szCs w:val="18"/>
                    </w:rPr>
                  </w:pPr>
                  <w:proofErr w:type="gramStart"/>
                  <w:r w:rsidRPr="00FB32F9">
                    <w:rPr>
                      <w:rFonts w:ascii="Segoe UI" w:hAnsi="Segoe UI" w:cs="Segoe UI"/>
                      <w:color w:val="auto"/>
                      <w:sz w:val="18"/>
                      <w:szCs w:val="18"/>
                    </w:rPr>
                    <w:t>Non PP</w:t>
                  </w:r>
                  <w:proofErr w:type="gramEnd"/>
                  <w:r w:rsidRPr="00FB32F9">
                    <w:rPr>
                      <w:rFonts w:ascii="Segoe UI" w:hAnsi="Segoe UI" w:cs="Segoe UI"/>
                      <w:color w:val="auto"/>
                      <w:sz w:val="18"/>
                      <w:szCs w:val="18"/>
                    </w:rPr>
                    <w:t xml:space="preserve"> +16% </w:t>
                  </w:r>
                </w:p>
              </w:tc>
            </w:tr>
          </w:tbl>
          <w:p w14:paraId="2854303F" w14:textId="77777777" w:rsidR="005B58F6" w:rsidRDefault="005B58F6" w:rsidP="009F3048">
            <w:pPr>
              <w:rPr>
                <w:color w:val="0070C0"/>
                <w:sz w:val="22"/>
                <w:szCs w:val="22"/>
                <w:u w:val="single"/>
              </w:rPr>
            </w:pPr>
          </w:p>
          <w:p w14:paraId="0C7292B1" w14:textId="549FEC0E" w:rsidR="00FB32F9" w:rsidRDefault="00FB32F9" w:rsidP="009F3048">
            <w:pPr>
              <w:rPr>
                <w:color w:val="0070C0"/>
                <w:sz w:val="22"/>
                <w:szCs w:val="22"/>
                <w:u w:val="single"/>
              </w:rPr>
            </w:pPr>
            <w:r>
              <w:rPr>
                <w:color w:val="0070C0"/>
                <w:sz w:val="22"/>
                <w:szCs w:val="22"/>
                <w:u w:val="single"/>
              </w:rPr>
              <w:t xml:space="preserve">Years 1-5 Teacher Assessment Data </w:t>
            </w:r>
          </w:p>
          <w:p w14:paraId="131DCC4C" w14:textId="0011173D" w:rsidR="00FB32F9" w:rsidRDefault="00FB32F9" w:rsidP="009F3048">
            <w:pPr>
              <w:rPr>
                <w:color w:val="0070C0"/>
                <w:sz w:val="22"/>
                <w:szCs w:val="22"/>
                <w:u w:val="single"/>
              </w:rPr>
            </w:pPr>
            <w:r w:rsidRPr="00FB32F9">
              <w:rPr>
                <w:noProof/>
                <w:color w:val="0070C0"/>
                <w:sz w:val="22"/>
                <w:szCs w:val="22"/>
                <w:u w:val="single"/>
              </w:rPr>
              <w:drawing>
                <wp:anchor distT="0" distB="0" distL="114300" distR="114300" simplePos="0" relativeHeight="251665408" behindDoc="0" locked="0" layoutInCell="1" allowOverlap="1" wp14:anchorId="6DE79686" wp14:editId="00151A87">
                  <wp:simplePos x="0" y="0"/>
                  <wp:positionH relativeFrom="column">
                    <wp:posOffset>15875</wp:posOffset>
                  </wp:positionH>
                  <wp:positionV relativeFrom="paragraph">
                    <wp:posOffset>300355</wp:posOffset>
                  </wp:positionV>
                  <wp:extent cx="4602480" cy="1912388"/>
                  <wp:effectExtent l="0" t="0" r="7620" b="0"/>
                  <wp:wrapNone/>
                  <wp:docPr id="442150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50252" name=""/>
                          <pic:cNvPicPr/>
                        </pic:nvPicPr>
                        <pic:blipFill rotWithShape="1">
                          <a:blip r:embed="rId21">
                            <a:extLst>
                              <a:ext uri="{28A0092B-C50C-407E-A947-70E740481C1C}">
                                <a14:useLocalDpi xmlns:a14="http://schemas.microsoft.com/office/drawing/2010/main" val="0"/>
                              </a:ext>
                            </a:extLst>
                          </a:blip>
                          <a:srcRect l="1" t="-1" r="139" b="-671"/>
                          <a:stretch/>
                        </pic:blipFill>
                        <pic:spPr bwMode="auto">
                          <a:xfrm>
                            <a:off x="0" y="0"/>
                            <a:ext cx="4611743" cy="19162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0070C0"/>
                <w:sz w:val="22"/>
                <w:szCs w:val="22"/>
                <w:u w:val="single"/>
              </w:rPr>
              <w:t xml:space="preserve">Reading </w:t>
            </w:r>
          </w:p>
          <w:p w14:paraId="3A54B823" w14:textId="0C464D53" w:rsidR="00FB32F9" w:rsidRDefault="00FB32F9" w:rsidP="009F3048">
            <w:pPr>
              <w:rPr>
                <w:color w:val="0070C0"/>
                <w:sz w:val="22"/>
                <w:szCs w:val="22"/>
                <w:u w:val="single"/>
              </w:rPr>
            </w:pPr>
          </w:p>
          <w:p w14:paraId="3E6F0B51" w14:textId="77777777" w:rsidR="00FB32F9" w:rsidRDefault="00FB32F9" w:rsidP="009F3048">
            <w:pPr>
              <w:rPr>
                <w:color w:val="0070C0"/>
                <w:sz w:val="22"/>
                <w:szCs w:val="22"/>
                <w:u w:val="single"/>
              </w:rPr>
            </w:pPr>
          </w:p>
          <w:p w14:paraId="5DAB9283" w14:textId="77777777" w:rsidR="00FB32F9" w:rsidRDefault="00FB32F9" w:rsidP="009F3048">
            <w:pPr>
              <w:rPr>
                <w:color w:val="0070C0"/>
                <w:sz w:val="22"/>
                <w:szCs w:val="22"/>
                <w:u w:val="single"/>
              </w:rPr>
            </w:pPr>
          </w:p>
          <w:p w14:paraId="6F1E4270" w14:textId="77777777" w:rsidR="00FB32F9" w:rsidRDefault="00FB32F9" w:rsidP="009F3048">
            <w:pPr>
              <w:rPr>
                <w:color w:val="0070C0"/>
                <w:sz w:val="22"/>
                <w:szCs w:val="22"/>
                <w:u w:val="single"/>
              </w:rPr>
            </w:pPr>
          </w:p>
          <w:p w14:paraId="78C71F89" w14:textId="1A2095C4" w:rsidR="00FB32F9" w:rsidRPr="00FB32F9" w:rsidRDefault="00FB32F9" w:rsidP="009F3048">
            <w:pPr>
              <w:rPr>
                <w:color w:val="0070C0"/>
                <w:sz w:val="22"/>
                <w:szCs w:val="22"/>
                <w:u w:val="single"/>
              </w:rPr>
            </w:pPr>
            <w:r w:rsidRPr="00FB32F9">
              <w:rPr>
                <w:color w:val="0070C0"/>
                <w:sz w:val="22"/>
                <w:szCs w:val="22"/>
                <w:u w:val="single"/>
              </w:rPr>
              <w:t>Phonics Screening Check</w:t>
            </w:r>
          </w:p>
          <w:p w14:paraId="7399B9FD" w14:textId="77777777" w:rsidR="00FB32F9" w:rsidRDefault="00FB32F9" w:rsidP="009F3048"/>
          <w:p w14:paraId="150EACBE" w14:textId="6DF4125F" w:rsidR="00FB32F9" w:rsidRPr="00FB32F9" w:rsidRDefault="00FB32F9" w:rsidP="009F3048">
            <w:pPr>
              <w:rPr>
                <w:color w:val="0070C0"/>
                <w:u w:val="single"/>
              </w:rPr>
            </w:pPr>
            <w:r w:rsidRPr="00FB32F9">
              <w:rPr>
                <w:color w:val="0070C0"/>
                <w:u w:val="single"/>
              </w:rPr>
              <w:t xml:space="preserve">Writing </w:t>
            </w:r>
          </w:p>
          <w:p w14:paraId="249BF41B" w14:textId="77777777" w:rsidR="00FB32F9" w:rsidRDefault="00FB32F9" w:rsidP="009F3048">
            <w:r w:rsidRPr="00FB32F9">
              <w:rPr>
                <w:noProof/>
              </w:rPr>
              <w:lastRenderedPageBreak/>
              <w:drawing>
                <wp:inline distT="0" distB="0" distL="0" distR="0" wp14:anchorId="32B72AD3" wp14:editId="303E01AE">
                  <wp:extent cx="4853940" cy="1992041"/>
                  <wp:effectExtent l="0" t="0" r="3810" b="8255"/>
                  <wp:docPr id="1250752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52787" name=""/>
                          <pic:cNvPicPr/>
                        </pic:nvPicPr>
                        <pic:blipFill>
                          <a:blip r:embed="rId22"/>
                          <a:stretch>
                            <a:fillRect/>
                          </a:stretch>
                        </pic:blipFill>
                        <pic:spPr>
                          <a:xfrm>
                            <a:off x="0" y="0"/>
                            <a:ext cx="4874111" cy="2000319"/>
                          </a:xfrm>
                          <a:prstGeom prst="rect">
                            <a:avLst/>
                          </a:prstGeom>
                        </pic:spPr>
                      </pic:pic>
                    </a:graphicData>
                  </a:graphic>
                </wp:inline>
              </w:drawing>
            </w:r>
          </w:p>
          <w:p w14:paraId="69752807" w14:textId="77777777" w:rsidR="00FB32F9" w:rsidRDefault="00FB32F9" w:rsidP="009F3048">
            <w:pPr>
              <w:rPr>
                <w:color w:val="0070C0"/>
                <w:u w:val="single"/>
              </w:rPr>
            </w:pPr>
            <w:r w:rsidRPr="00FB32F9">
              <w:rPr>
                <w:color w:val="0070C0"/>
                <w:u w:val="single"/>
              </w:rPr>
              <w:t>Maths</w:t>
            </w:r>
          </w:p>
          <w:p w14:paraId="2133ED11" w14:textId="77777777" w:rsidR="00FB32F9" w:rsidRDefault="00FB32F9" w:rsidP="009F3048">
            <w:pPr>
              <w:rPr>
                <w:u w:val="single"/>
              </w:rPr>
            </w:pPr>
            <w:r w:rsidRPr="00FB32F9">
              <w:rPr>
                <w:noProof/>
                <w:u w:val="single"/>
              </w:rPr>
              <w:drawing>
                <wp:inline distT="0" distB="0" distL="0" distR="0" wp14:anchorId="490609A8" wp14:editId="07AD3D6A">
                  <wp:extent cx="5502117" cy="2270957"/>
                  <wp:effectExtent l="0" t="0" r="3810" b="0"/>
                  <wp:docPr id="573989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89546" name=""/>
                          <pic:cNvPicPr/>
                        </pic:nvPicPr>
                        <pic:blipFill>
                          <a:blip r:embed="rId23"/>
                          <a:stretch>
                            <a:fillRect/>
                          </a:stretch>
                        </pic:blipFill>
                        <pic:spPr>
                          <a:xfrm>
                            <a:off x="0" y="0"/>
                            <a:ext cx="5502117" cy="2270957"/>
                          </a:xfrm>
                          <a:prstGeom prst="rect">
                            <a:avLst/>
                          </a:prstGeom>
                        </pic:spPr>
                      </pic:pic>
                    </a:graphicData>
                  </a:graphic>
                </wp:inline>
              </w:drawing>
            </w:r>
          </w:p>
          <w:p w14:paraId="2B19A607" w14:textId="77777777" w:rsidR="00FB32F9" w:rsidRDefault="00FB32F9" w:rsidP="009F3048">
            <w:pPr>
              <w:rPr>
                <w:color w:val="0070C0"/>
                <w:u w:val="single"/>
              </w:rPr>
            </w:pPr>
            <w:r w:rsidRPr="00FB32F9">
              <w:rPr>
                <w:color w:val="0070C0"/>
                <w:u w:val="single"/>
              </w:rPr>
              <w:t>Year 1 Phonics Screening Check</w:t>
            </w:r>
          </w:p>
          <w:tbl>
            <w:tblPr>
              <w:tblStyle w:val="TableGrid"/>
              <w:tblW w:w="0" w:type="auto"/>
              <w:tblLook w:val="04A0" w:firstRow="1" w:lastRow="0" w:firstColumn="1" w:lastColumn="0" w:noHBand="0" w:noVBand="1"/>
            </w:tblPr>
            <w:tblGrid>
              <w:gridCol w:w="2529"/>
              <w:gridCol w:w="2529"/>
            </w:tblGrid>
            <w:tr w:rsidR="00520C28" w14:paraId="5CA7600A" w14:textId="77777777" w:rsidTr="00802AC0">
              <w:tc>
                <w:tcPr>
                  <w:tcW w:w="2529" w:type="dxa"/>
                </w:tcPr>
                <w:p w14:paraId="35143030" w14:textId="58A5E2B9" w:rsidR="00520C28" w:rsidRPr="000F774C" w:rsidRDefault="00520C28" w:rsidP="00E32BCC">
                  <w:pPr>
                    <w:jc w:val="center"/>
                    <w:rPr>
                      <w:b/>
                      <w:bCs/>
                      <w:sz w:val="18"/>
                      <w:szCs w:val="18"/>
                    </w:rPr>
                  </w:pPr>
                  <w:r w:rsidRPr="000F774C">
                    <w:rPr>
                      <w:b/>
                      <w:bCs/>
                      <w:sz w:val="18"/>
                      <w:szCs w:val="18"/>
                    </w:rPr>
                    <w:t>Passed the Phonics Screening Check</w:t>
                  </w:r>
                </w:p>
              </w:tc>
              <w:tc>
                <w:tcPr>
                  <w:tcW w:w="2529" w:type="dxa"/>
                </w:tcPr>
                <w:p w14:paraId="62897CC6" w14:textId="2A90068B" w:rsidR="00520C28" w:rsidRPr="000F774C" w:rsidRDefault="00520C28" w:rsidP="00E32BCC">
                  <w:pPr>
                    <w:jc w:val="center"/>
                    <w:rPr>
                      <w:b/>
                      <w:bCs/>
                      <w:sz w:val="18"/>
                      <w:szCs w:val="18"/>
                    </w:rPr>
                  </w:pPr>
                  <w:r w:rsidRPr="000F774C">
                    <w:rPr>
                      <w:b/>
                      <w:bCs/>
                      <w:sz w:val="18"/>
                      <w:szCs w:val="18"/>
                    </w:rPr>
                    <w:t>Pupil Premium</w:t>
                  </w:r>
                </w:p>
              </w:tc>
            </w:tr>
            <w:tr w:rsidR="00520C28" w14:paraId="42762809" w14:textId="77777777" w:rsidTr="00802AC0">
              <w:tc>
                <w:tcPr>
                  <w:tcW w:w="2529" w:type="dxa"/>
                </w:tcPr>
                <w:p w14:paraId="2A83574E" w14:textId="77777777" w:rsidR="00520C28" w:rsidRPr="000F774C" w:rsidRDefault="00520C28" w:rsidP="00E32BCC">
                  <w:pPr>
                    <w:jc w:val="center"/>
                    <w:rPr>
                      <w:sz w:val="18"/>
                      <w:szCs w:val="18"/>
                    </w:rPr>
                  </w:pPr>
                  <w:r w:rsidRPr="000F774C">
                    <w:rPr>
                      <w:sz w:val="18"/>
                      <w:szCs w:val="18"/>
                    </w:rPr>
                    <w:t>67%</w:t>
                  </w:r>
                </w:p>
                <w:p w14:paraId="1C1C580C" w14:textId="0E10F279" w:rsidR="00520C28" w:rsidRPr="000F774C" w:rsidRDefault="00520C28" w:rsidP="00520C28">
                  <w:pPr>
                    <w:jc w:val="center"/>
                    <w:rPr>
                      <w:sz w:val="18"/>
                      <w:szCs w:val="18"/>
                    </w:rPr>
                  </w:pPr>
                  <w:r w:rsidRPr="000F774C">
                    <w:rPr>
                      <w:sz w:val="18"/>
                      <w:szCs w:val="18"/>
                    </w:rPr>
                    <w:t>35/52</w:t>
                  </w:r>
                </w:p>
              </w:tc>
              <w:tc>
                <w:tcPr>
                  <w:tcW w:w="2529" w:type="dxa"/>
                </w:tcPr>
                <w:p w14:paraId="61A30047" w14:textId="454E8C3E" w:rsidR="00520C28" w:rsidRPr="000F774C" w:rsidRDefault="00520C28" w:rsidP="00E32BCC">
                  <w:pPr>
                    <w:jc w:val="center"/>
                    <w:rPr>
                      <w:sz w:val="18"/>
                      <w:szCs w:val="18"/>
                    </w:rPr>
                  </w:pPr>
                  <w:r w:rsidRPr="000F774C">
                    <w:rPr>
                      <w:sz w:val="18"/>
                      <w:szCs w:val="18"/>
                    </w:rPr>
                    <w:t>64%</w:t>
                  </w:r>
                </w:p>
                <w:p w14:paraId="066A73DE" w14:textId="7167084D" w:rsidR="00520C28" w:rsidRPr="000F774C" w:rsidRDefault="00520C28" w:rsidP="00E32BCC">
                  <w:pPr>
                    <w:jc w:val="center"/>
                    <w:rPr>
                      <w:sz w:val="18"/>
                      <w:szCs w:val="18"/>
                      <w:u w:val="single"/>
                    </w:rPr>
                  </w:pPr>
                  <w:r w:rsidRPr="000F774C">
                    <w:rPr>
                      <w:sz w:val="18"/>
                      <w:szCs w:val="18"/>
                    </w:rPr>
                    <w:t>16/25</w:t>
                  </w:r>
                </w:p>
              </w:tc>
            </w:tr>
          </w:tbl>
          <w:p w14:paraId="53F4FF3F" w14:textId="77777777" w:rsidR="00FB32F9" w:rsidRDefault="00FB32F9" w:rsidP="009F3048">
            <w:pPr>
              <w:rPr>
                <w:u w:val="single"/>
              </w:rPr>
            </w:pPr>
          </w:p>
          <w:p w14:paraId="79F7C158" w14:textId="77777777" w:rsidR="00520C28" w:rsidRDefault="00520C28" w:rsidP="009F3048">
            <w:pPr>
              <w:rPr>
                <w:color w:val="0070C0"/>
                <w:u w:val="single"/>
              </w:rPr>
            </w:pPr>
            <w:r w:rsidRPr="00520C28">
              <w:rPr>
                <w:color w:val="0070C0"/>
                <w:u w:val="single"/>
              </w:rPr>
              <w:t>Year 2 Phonics Resit</w:t>
            </w:r>
          </w:p>
          <w:tbl>
            <w:tblPr>
              <w:tblStyle w:val="TableGrid"/>
              <w:tblW w:w="0" w:type="auto"/>
              <w:tblLook w:val="04A0" w:firstRow="1" w:lastRow="0" w:firstColumn="1" w:lastColumn="0" w:noHBand="0" w:noVBand="1"/>
            </w:tblPr>
            <w:tblGrid>
              <w:gridCol w:w="2529"/>
              <w:gridCol w:w="2529"/>
            </w:tblGrid>
            <w:tr w:rsidR="000F774C" w14:paraId="48FF1938" w14:textId="77777777" w:rsidTr="003853E7">
              <w:tc>
                <w:tcPr>
                  <w:tcW w:w="2529" w:type="dxa"/>
                </w:tcPr>
                <w:p w14:paraId="406CFA6A" w14:textId="5C65FEF5" w:rsidR="000F774C" w:rsidRPr="000F774C" w:rsidRDefault="000F774C" w:rsidP="000F774C">
                  <w:pPr>
                    <w:jc w:val="center"/>
                    <w:rPr>
                      <w:b/>
                      <w:bCs/>
                      <w:sz w:val="18"/>
                      <w:szCs w:val="18"/>
                    </w:rPr>
                  </w:pPr>
                  <w:r w:rsidRPr="000F774C">
                    <w:rPr>
                      <w:b/>
                      <w:bCs/>
                      <w:sz w:val="18"/>
                      <w:szCs w:val="18"/>
                    </w:rPr>
                    <w:t>Passed resit of Phonics Screening Check</w:t>
                  </w:r>
                </w:p>
              </w:tc>
              <w:tc>
                <w:tcPr>
                  <w:tcW w:w="2529" w:type="dxa"/>
                </w:tcPr>
                <w:p w14:paraId="2FCF911F" w14:textId="77777777" w:rsidR="000F774C" w:rsidRPr="000F774C" w:rsidRDefault="000F774C" w:rsidP="000F774C">
                  <w:pPr>
                    <w:jc w:val="center"/>
                    <w:rPr>
                      <w:b/>
                      <w:bCs/>
                      <w:sz w:val="18"/>
                      <w:szCs w:val="18"/>
                    </w:rPr>
                  </w:pPr>
                  <w:r w:rsidRPr="000F774C">
                    <w:rPr>
                      <w:b/>
                      <w:bCs/>
                      <w:sz w:val="18"/>
                      <w:szCs w:val="18"/>
                    </w:rPr>
                    <w:t>Pupil Premium</w:t>
                  </w:r>
                </w:p>
              </w:tc>
            </w:tr>
            <w:tr w:rsidR="000F774C" w14:paraId="13436E8C" w14:textId="77777777" w:rsidTr="003853E7">
              <w:tc>
                <w:tcPr>
                  <w:tcW w:w="2529" w:type="dxa"/>
                </w:tcPr>
                <w:p w14:paraId="325E7216" w14:textId="77777777" w:rsidR="000F774C" w:rsidRPr="000F774C" w:rsidRDefault="000F774C" w:rsidP="000F774C">
                  <w:pPr>
                    <w:jc w:val="center"/>
                    <w:rPr>
                      <w:sz w:val="18"/>
                      <w:szCs w:val="18"/>
                    </w:rPr>
                  </w:pPr>
                  <w:r w:rsidRPr="000F774C">
                    <w:rPr>
                      <w:sz w:val="18"/>
                      <w:szCs w:val="18"/>
                    </w:rPr>
                    <w:t xml:space="preserve">37.5% </w:t>
                  </w:r>
                </w:p>
                <w:p w14:paraId="65D322D7" w14:textId="3188F923" w:rsidR="000F774C" w:rsidRPr="000F774C" w:rsidRDefault="000F774C" w:rsidP="000F774C">
                  <w:pPr>
                    <w:jc w:val="center"/>
                    <w:rPr>
                      <w:sz w:val="18"/>
                      <w:szCs w:val="18"/>
                    </w:rPr>
                  </w:pPr>
                  <w:r w:rsidRPr="000F774C">
                    <w:rPr>
                      <w:sz w:val="18"/>
                      <w:szCs w:val="18"/>
                    </w:rPr>
                    <w:t>(3/8)</w:t>
                  </w:r>
                </w:p>
              </w:tc>
              <w:tc>
                <w:tcPr>
                  <w:tcW w:w="2529" w:type="dxa"/>
                </w:tcPr>
                <w:p w14:paraId="4C86F333" w14:textId="77777777" w:rsidR="000F774C" w:rsidRPr="000F774C" w:rsidRDefault="000F774C" w:rsidP="000F774C">
                  <w:pPr>
                    <w:jc w:val="center"/>
                    <w:rPr>
                      <w:sz w:val="18"/>
                      <w:szCs w:val="18"/>
                    </w:rPr>
                  </w:pPr>
                  <w:r w:rsidRPr="000F774C">
                    <w:rPr>
                      <w:sz w:val="18"/>
                      <w:szCs w:val="18"/>
                    </w:rPr>
                    <w:t>0%</w:t>
                  </w:r>
                </w:p>
                <w:p w14:paraId="5D54A4CF" w14:textId="28CE1556" w:rsidR="000F774C" w:rsidRPr="000F774C" w:rsidRDefault="000F774C" w:rsidP="000F774C">
                  <w:pPr>
                    <w:jc w:val="center"/>
                    <w:rPr>
                      <w:sz w:val="18"/>
                      <w:szCs w:val="18"/>
                    </w:rPr>
                  </w:pPr>
                  <w:r w:rsidRPr="000F774C">
                    <w:rPr>
                      <w:sz w:val="18"/>
                      <w:szCs w:val="18"/>
                    </w:rPr>
                    <w:t>(0/5)</w:t>
                  </w:r>
                </w:p>
              </w:tc>
            </w:tr>
          </w:tbl>
          <w:p w14:paraId="5023926C" w14:textId="199F5CB9" w:rsidR="000F774C" w:rsidRPr="00FB32F9" w:rsidRDefault="000F774C" w:rsidP="009F3048">
            <w:pPr>
              <w:rPr>
                <w:u w:val="single"/>
              </w:rPr>
            </w:pPr>
          </w:p>
        </w:tc>
      </w:tr>
    </w:tbl>
    <w:p w14:paraId="2A7D5548" w14:textId="0199D85C" w:rsidR="00E66558" w:rsidRDefault="006D6372" w:rsidP="00A82A98">
      <w:pPr>
        <w:pStyle w:val="Heading2"/>
      </w:pPr>
      <w:r>
        <w:lastRenderedPageBreak/>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B48A893" w14:textId="77777777"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E86F05">
        <w:tc>
          <w:tcPr>
            <w:tcW w:w="9486" w:type="dxa"/>
            <w:shd w:val="clear" w:color="auto" w:fill="D8E2E9"/>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tc>
      </w:tr>
      <w:tr w:rsidR="00ED5108" w14:paraId="2D016C33" w14:textId="77777777" w:rsidTr="00E86F05">
        <w:tc>
          <w:tcPr>
            <w:tcW w:w="9486" w:type="dxa"/>
            <w:shd w:val="clear" w:color="auto" w:fill="D8E2E9"/>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248FD87E" w:rsidR="00E66558" w:rsidRPr="00AA355B"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bookmarkEnd w:id="14"/>
      <w:bookmarkEnd w:id="15"/>
      <w:bookmarkEnd w:id="16"/>
    </w:tbl>
    <w:p w14:paraId="2A7D5564" w14:textId="77777777" w:rsidR="00E66558" w:rsidRDefault="00E66558"/>
    <w:sectPr w:rsidR="00E66558">
      <w:headerReference w:type="default" r:id="rId24"/>
      <w:footerReference w:type="default" r:id="rId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6D0F0" w14:textId="77777777" w:rsidR="00AA74CF" w:rsidRDefault="00AA74CF">
      <w:pPr>
        <w:spacing w:after="0" w:line="240" w:lineRule="auto"/>
      </w:pPr>
      <w:r>
        <w:separator/>
      </w:r>
    </w:p>
  </w:endnote>
  <w:endnote w:type="continuationSeparator" w:id="0">
    <w:p w14:paraId="66115967" w14:textId="77777777" w:rsidR="00AA74CF" w:rsidRDefault="00AA74CF">
      <w:pPr>
        <w:spacing w:after="0" w:line="240" w:lineRule="auto"/>
      </w:pPr>
      <w:r>
        <w:continuationSeparator/>
      </w:r>
    </w:p>
  </w:endnote>
  <w:endnote w:type="continuationNotice" w:id="1">
    <w:p w14:paraId="034FFB94" w14:textId="77777777" w:rsidR="00AA74CF" w:rsidRDefault="00AA74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7E68" w14:textId="77777777" w:rsidR="00AA74CF" w:rsidRDefault="00AA74CF">
      <w:pPr>
        <w:spacing w:after="0" w:line="240" w:lineRule="auto"/>
      </w:pPr>
      <w:r>
        <w:separator/>
      </w:r>
    </w:p>
  </w:footnote>
  <w:footnote w:type="continuationSeparator" w:id="0">
    <w:p w14:paraId="612B8312" w14:textId="77777777" w:rsidR="00AA74CF" w:rsidRDefault="00AA74CF">
      <w:pPr>
        <w:spacing w:after="0" w:line="240" w:lineRule="auto"/>
      </w:pPr>
      <w:r>
        <w:continuationSeparator/>
      </w:r>
    </w:p>
  </w:footnote>
  <w:footnote w:type="continuationNotice" w:id="1">
    <w:p w14:paraId="6AA5C127" w14:textId="77777777" w:rsidR="00AA74CF" w:rsidRDefault="00AA74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303" w:hanging="360"/>
      </w:pPr>
      <w:rPr>
        <w:rFonts w:ascii="Symbol" w:hAnsi="Symbol"/>
      </w:rPr>
    </w:lvl>
    <w:lvl w:ilvl="1">
      <w:numFmt w:val="bullet"/>
      <w:lvlText w:val=""/>
      <w:lvlJc w:val="left"/>
      <w:pPr>
        <w:ind w:left="1023" w:hanging="360"/>
      </w:pPr>
      <w:rPr>
        <w:rFonts w:ascii="Symbol" w:hAnsi="Symbol"/>
        <w:color w:val="auto"/>
        <w:sz w:val="24"/>
      </w:rPr>
    </w:lvl>
    <w:lvl w:ilvl="2">
      <w:numFmt w:val="bullet"/>
      <w:lvlText w:val=""/>
      <w:lvlJc w:val="left"/>
      <w:pPr>
        <w:ind w:left="1743" w:hanging="360"/>
      </w:pPr>
      <w:rPr>
        <w:rFonts w:ascii="Wingdings" w:hAnsi="Wingdings"/>
      </w:rPr>
    </w:lvl>
    <w:lvl w:ilvl="3">
      <w:numFmt w:val="bullet"/>
      <w:lvlText w:val=""/>
      <w:lvlJc w:val="left"/>
      <w:pPr>
        <w:ind w:left="2463" w:hanging="360"/>
      </w:pPr>
      <w:rPr>
        <w:rFonts w:ascii="Symbol" w:hAnsi="Symbol"/>
      </w:rPr>
    </w:lvl>
    <w:lvl w:ilvl="4">
      <w:numFmt w:val="bullet"/>
      <w:lvlText w:val="o"/>
      <w:lvlJc w:val="left"/>
      <w:pPr>
        <w:ind w:left="3183" w:hanging="360"/>
      </w:pPr>
      <w:rPr>
        <w:rFonts w:ascii="Courier New" w:hAnsi="Courier New" w:cs="Courier New"/>
      </w:rPr>
    </w:lvl>
    <w:lvl w:ilvl="5">
      <w:numFmt w:val="bullet"/>
      <w:lvlText w:val=""/>
      <w:lvlJc w:val="left"/>
      <w:pPr>
        <w:ind w:left="3903" w:hanging="360"/>
      </w:pPr>
      <w:rPr>
        <w:rFonts w:ascii="Wingdings" w:hAnsi="Wingdings"/>
      </w:rPr>
    </w:lvl>
    <w:lvl w:ilvl="6">
      <w:numFmt w:val="bullet"/>
      <w:lvlText w:val=""/>
      <w:lvlJc w:val="left"/>
      <w:pPr>
        <w:ind w:left="4623" w:hanging="360"/>
      </w:pPr>
      <w:rPr>
        <w:rFonts w:ascii="Symbol" w:hAnsi="Symbol"/>
      </w:rPr>
    </w:lvl>
    <w:lvl w:ilvl="7">
      <w:numFmt w:val="bullet"/>
      <w:lvlText w:val="o"/>
      <w:lvlJc w:val="left"/>
      <w:pPr>
        <w:ind w:left="5343" w:hanging="360"/>
      </w:pPr>
      <w:rPr>
        <w:rFonts w:ascii="Courier New" w:hAnsi="Courier New" w:cs="Courier New"/>
      </w:rPr>
    </w:lvl>
    <w:lvl w:ilvl="8">
      <w:numFmt w:val="bullet"/>
      <w:lvlText w:val=""/>
      <w:lvlJc w:val="left"/>
      <w:pPr>
        <w:ind w:left="6063"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0157E33"/>
    <w:multiLevelType w:val="hybridMultilevel"/>
    <w:tmpl w:val="88E64892"/>
    <w:lvl w:ilvl="0" w:tplc="9EEA0EAE">
      <w:start w:val="1"/>
      <w:numFmt w:val="bullet"/>
      <w:lvlText w:val=""/>
      <w:lvlJc w:val="left"/>
      <w:pPr>
        <w:ind w:left="840" w:hanging="360"/>
      </w:pPr>
      <w:rPr>
        <w:rFonts w:ascii="Wingdings" w:hAnsi="Wingdings" w:hint="default"/>
        <w:color w:val="0070C0"/>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AA72402"/>
    <w:multiLevelType w:val="hybridMultilevel"/>
    <w:tmpl w:val="17E86D58"/>
    <w:lvl w:ilvl="0" w:tplc="3B8CF63C">
      <w:start w:val="1"/>
      <w:numFmt w:val="bullet"/>
      <w:lvlText w:val=""/>
      <w:lvlJc w:val="left"/>
      <w:pPr>
        <w:ind w:left="828" w:hanging="360"/>
      </w:pPr>
      <w:rPr>
        <w:rFonts w:ascii="Wingdings" w:hAnsi="Wingdings" w:hint="default"/>
        <w:color w:val="auto"/>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9" w15:restartNumberingAfterBreak="0">
    <w:nsid w:val="4E513E80"/>
    <w:multiLevelType w:val="hybridMultilevel"/>
    <w:tmpl w:val="CA5E21D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538E3697"/>
    <w:multiLevelType w:val="hybridMultilevel"/>
    <w:tmpl w:val="37008468"/>
    <w:lvl w:ilvl="0" w:tplc="08090001">
      <w:start w:val="1"/>
      <w:numFmt w:val="bullet"/>
      <w:lvlText w:val=""/>
      <w:lvlJc w:val="left"/>
      <w:pPr>
        <w:ind w:left="777" w:hanging="360"/>
      </w:pPr>
      <w:rPr>
        <w:rFonts w:ascii="Symbol" w:hAnsi="Symbol" w:hint="default"/>
      </w:rPr>
    </w:lvl>
    <w:lvl w:ilvl="1" w:tplc="D24E7A1A">
      <w:numFmt w:val="bullet"/>
      <w:lvlText w:val="•"/>
      <w:lvlJc w:val="left"/>
      <w:pPr>
        <w:ind w:left="1497" w:hanging="360"/>
      </w:pPr>
      <w:rPr>
        <w:rFonts w:ascii="Arial" w:eastAsia="Times New Roman" w:hAnsi="Arial" w:cs="Arial"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99F4D97"/>
    <w:multiLevelType w:val="hybridMultilevel"/>
    <w:tmpl w:val="2AFAFD6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6C4B53C0"/>
    <w:multiLevelType w:val="hybridMultilevel"/>
    <w:tmpl w:val="4FF8675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85221455">
    <w:abstractNumId w:val="4"/>
  </w:num>
  <w:num w:numId="2" w16cid:durableId="1939824616">
    <w:abstractNumId w:val="1"/>
  </w:num>
  <w:num w:numId="3" w16cid:durableId="344401658">
    <w:abstractNumId w:val="5"/>
  </w:num>
  <w:num w:numId="4" w16cid:durableId="1382246237">
    <w:abstractNumId w:val="6"/>
  </w:num>
  <w:num w:numId="5" w16cid:durableId="782304742">
    <w:abstractNumId w:val="0"/>
  </w:num>
  <w:num w:numId="6" w16cid:durableId="391272270">
    <w:abstractNumId w:val="7"/>
  </w:num>
  <w:num w:numId="7" w16cid:durableId="1173372421">
    <w:abstractNumId w:val="12"/>
  </w:num>
  <w:num w:numId="8" w16cid:durableId="252710938">
    <w:abstractNumId w:val="18"/>
  </w:num>
  <w:num w:numId="9" w16cid:durableId="392047846">
    <w:abstractNumId w:val="16"/>
  </w:num>
  <w:num w:numId="10" w16cid:durableId="1286765705">
    <w:abstractNumId w:val="14"/>
  </w:num>
  <w:num w:numId="11" w16cid:durableId="186676065">
    <w:abstractNumId w:val="3"/>
  </w:num>
  <w:num w:numId="12" w16cid:durableId="744764649">
    <w:abstractNumId w:val="17"/>
  </w:num>
  <w:num w:numId="13" w16cid:durableId="400257506">
    <w:abstractNumId w:val="11"/>
  </w:num>
  <w:num w:numId="14" w16cid:durableId="1068768399">
    <w:abstractNumId w:val="13"/>
  </w:num>
  <w:num w:numId="15" w16cid:durableId="808716441">
    <w:abstractNumId w:val="10"/>
  </w:num>
  <w:num w:numId="16" w16cid:durableId="510993379">
    <w:abstractNumId w:val="15"/>
  </w:num>
  <w:num w:numId="17" w16cid:durableId="609439285">
    <w:abstractNumId w:val="9"/>
  </w:num>
  <w:num w:numId="18" w16cid:durableId="1672877094">
    <w:abstractNumId w:val="2"/>
  </w:num>
  <w:num w:numId="19" w16cid:durableId="9308916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6941"/>
    <w:rsid w:val="00023729"/>
    <w:rsid w:val="000243B4"/>
    <w:rsid w:val="000451CD"/>
    <w:rsid w:val="000452EB"/>
    <w:rsid w:val="0004595F"/>
    <w:rsid w:val="000463AE"/>
    <w:rsid w:val="000507A3"/>
    <w:rsid w:val="00060A62"/>
    <w:rsid w:val="00064366"/>
    <w:rsid w:val="00066B73"/>
    <w:rsid w:val="00071481"/>
    <w:rsid w:val="00075FAE"/>
    <w:rsid w:val="00082F38"/>
    <w:rsid w:val="0008384B"/>
    <w:rsid w:val="000929EC"/>
    <w:rsid w:val="00093CDE"/>
    <w:rsid w:val="000A6379"/>
    <w:rsid w:val="000D22B0"/>
    <w:rsid w:val="000D35C9"/>
    <w:rsid w:val="000D520C"/>
    <w:rsid w:val="000D6596"/>
    <w:rsid w:val="000D7063"/>
    <w:rsid w:val="000E6DF0"/>
    <w:rsid w:val="000F57D0"/>
    <w:rsid w:val="000F774C"/>
    <w:rsid w:val="001037CB"/>
    <w:rsid w:val="0010629E"/>
    <w:rsid w:val="00115538"/>
    <w:rsid w:val="00120AB1"/>
    <w:rsid w:val="00123A7F"/>
    <w:rsid w:val="001278D0"/>
    <w:rsid w:val="00127F72"/>
    <w:rsid w:val="00140646"/>
    <w:rsid w:val="00147A4B"/>
    <w:rsid w:val="001671ED"/>
    <w:rsid w:val="001727FA"/>
    <w:rsid w:val="00173D4C"/>
    <w:rsid w:val="00182B6B"/>
    <w:rsid w:val="00183218"/>
    <w:rsid w:val="00185988"/>
    <w:rsid w:val="001873B6"/>
    <w:rsid w:val="001901E6"/>
    <w:rsid w:val="00191305"/>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523E3"/>
    <w:rsid w:val="00266FA5"/>
    <w:rsid w:val="002920F4"/>
    <w:rsid w:val="002940F3"/>
    <w:rsid w:val="00295842"/>
    <w:rsid w:val="00295C7C"/>
    <w:rsid w:val="002B3574"/>
    <w:rsid w:val="002B637B"/>
    <w:rsid w:val="002B6B74"/>
    <w:rsid w:val="002C6AE7"/>
    <w:rsid w:val="002D2D4B"/>
    <w:rsid w:val="002D3805"/>
    <w:rsid w:val="002E66AE"/>
    <w:rsid w:val="002E7763"/>
    <w:rsid w:val="002F41DD"/>
    <w:rsid w:val="002F5842"/>
    <w:rsid w:val="00306CB7"/>
    <w:rsid w:val="00306F52"/>
    <w:rsid w:val="003111F5"/>
    <w:rsid w:val="003264CF"/>
    <w:rsid w:val="00326EC4"/>
    <w:rsid w:val="00335309"/>
    <w:rsid w:val="00336200"/>
    <w:rsid w:val="00337418"/>
    <w:rsid w:val="00351D83"/>
    <w:rsid w:val="00353E46"/>
    <w:rsid w:val="00354CCD"/>
    <w:rsid w:val="003576C4"/>
    <w:rsid w:val="00366AB0"/>
    <w:rsid w:val="003714CB"/>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3F4158"/>
    <w:rsid w:val="003F6012"/>
    <w:rsid w:val="004044AA"/>
    <w:rsid w:val="004044C8"/>
    <w:rsid w:val="00404F3F"/>
    <w:rsid w:val="00410B5D"/>
    <w:rsid w:val="00413BEC"/>
    <w:rsid w:val="0042265E"/>
    <w:rsid w:val="00424ED7"/>
    <w:rsid w:val="00425258"/>
    <w:rsid w:val="00426217"/>
    <w:rsid w:val="004317B3"/>
    <w:rsid w:val="00431A80"/>
    <w:rsid w:val="00435A89"/>
    <w:rsid w:val="00452267"/>
    <w:rsid w:val="00453307"/>
    <w:rsid w:val="00457E36"/>
    <w:rsid w:val="00457E5C"/>
    <w:rsid w:val="00461C0B"/>
    <w:rsid w:val="00462F8F"/>
    <w:rsid w:val="00481D56"/>
    <w:rsid w:val="00490408"/>
    <w:rsid w:val="004A4C45"/>
    <w:rsid w:val="004B0485"/>
    <w:rsid w:val="004B428E"/>
    <w:rsid w:val="004B4D37"/>
    <w:rsid w:val="004C2D9D"/>
    <w:rsid w:val="004C42F0"/>
    <w:rsid w:val="004D2036"/>
    <w:rsid w:val="004E1D73"/>
    <w:rsid w:val="004E2DB4"/>
    <w:rsid w:val="0051286E"/>
    <w:rsid w:val="00516021"/>
    <w:rsid w:val="00516457"/>
    <w:rsid w:val="00520A0C"/>
    <w:rsid w:val="00520C28"/>
    <w:rsid w:val="00523E57"/>
    <w:rsid w:val="00530B90"/>
    <w:rsid w:val="00530E37"/>
    <w:rsid w:val="005464A1"/>
    <w:rsid w:val="00546F12"/>
    <w:rsid w:val="0055339C"/>
    <w:rsid w:val="00555DF4"/>
    <w:rsid w:val="00562B3C"/>
    <w:rsid w:val="00564E40"/>
    <w:rsid w:val="005750E2"/>
    <w:rsid w:val="0058313F"/>
    <w:rsid w:val="00585859"/>
    <w:rsid w:val="00586FBC"/>
    <w:rsid w:val="005879C9"/>
    <w:rsid w:val="005A3C6B"/>
    <w:rsid w:val="005B1EA5"/>
    <w:rsid w:val="005B58F6"/>
    <w:rsid w:val="005C3BA0"/>
    <w:rsid w:val="005D7176"/>
    <w:rsid w:val="005E1F24"/>
    <w:rsid w:val="005E73F1"/>
    <w:rsid w:val="005F07EF"/>
    <w:rsid w:val="00600B2E"/>
    <w:rsid w:val="00607CEB"/>
    <w:rsid w:val="00613299"/>
    <w:rsid w:val="00616558"/>
    <w:rsid w:val="0061762D"/>
    <w:rsid w:val="00634238"/>
    <w:rsid w:val="00635FBC"/>
    <w:rsid w:val="00637728"/>
    <w:rsid w:val="0064113A"/>
    <w:rsid w:val="00641F0D"/>
    <w:rsid w:val="00644002"/>
    <w:rsid w:val="006458B1"/>
    <w:rsid w:val="0064642A"/>
    <w:rsid w:val="00650529"/>
    <w:rsid w:val="00650BAB"/>
    <w:rsid w:val="00651737"/>
    <w:rsid w:val="006671BF"/>
    <w:rsid w:val="00671C4B"/>
    <w:rsid w:val="00672A7D"/>
    <w:rsid w:val="00681416"/>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3441D"/>
    <w:rsid w:val="00741B9E"/>
    <w:rsid w:val="00743DAC"/>
    <w:rsid w:val="0075337B"/>
    <w:rsid w:val="00755CD4"/>
    <w:rsid w:val="00757F96"/>
    <w:rsid w:val="0077390F"/>
    <w:rsid w:val="00775CDB"/>
    <w:rsid w:val="00785285"/>
    <w:rsid w:val="0078529D"/>
    <w:rsid w:val="00786C33"/>
    <w:rsid w:val="00787DC1"/>
    <w:rsid w:val="00794070"/>
    <w:rsid w:val="007A713B"/>
    <w:rsid w:val="007B3DB9"/>
    <w:rsid w:val="007B623A"/>
    <w:rsid w:val="007B64E5"/>
    <w:rsid w:val="007C2F04"/>
    <w:rsid w:val="007C4AC7"/>
    <w:rsid w:val="007D6739"/>
    <w:rsid w:val="007E7148"/>
    <w:rsid w:val="007F5B8B"/>
    <w:rsid w:val="00802AC0"/>
    <w:rsid w:val="00817E9A"/>
    <w:rsid w:val="00820FC3"/>
    <w:rsid w:val="00830D57"/>
    <w:rsid w:val="00842D9F"/>
    <w:rsid w:val="00860B07"/>
    <w:rsid w:val="008616F6"/>
    <w:rsid w:val="0086259C"/>
    <w:rsid w:val="00883F24"/>
    <w:rsid w:val="00897E1F"/>
    <w:rsid w:val="008B2CB4"/>
    <w:rsid w:val="008B6404"/>
    <w:rsid w:val="008C2C21"/>
    <w:rsid w:val="008C7DD3"/>
    <w:rsid w:val="008E000B"/>
    <w:rsid w:val="008E2926"/>
    <w:rsid w:val="008E35C6"/>
    <w:rsid w:val="008E3F49"/>
    <w:rsid w:val="008F243B"/>
    <w:rsid w:val="008F4675"/>
    <w:rsid w:val="00904A66"/>
    <w:rsid w:val="00910D6B"/>
    <w:rsid w:val="0092287F"/>
    <w:rsid w:val="0092495B"/>
    <w:rsid w:val="0092660E"/>
    <w:rsid w:val="00936519"/>
    <w:rsid w:val="00941DA3"/>
    <w:rsid w:val="00942C0C"/>
    <w:rsid w:val="009539E3"/>
    <w:rsid w:val="00954A5E"/>
    <w:rsid w:val="009551B2"/>
    <w:rsid w:val="00964625"/>
    <w:rsid w:val="00981C1D"/>
    <w:rsid w:val="0099109C"/>
    <w:rsid w:val="009936DB"/>
    <w:rsid w:val="00993CFC"/>
    <w:rsid w:val="009973E2"/>
    <w:rsid w:val="009A1DC2"/>
    <w:rsid w:val="009C0914"/>
    <w:rsid w:val="009C27E5"/>
    <w:rsid w:val="009D71E8"/>
    <w:rsid w:val="009E104B"/>
    <w:rsid w:val="009E67A5"/>
    <w:rsid w:val="009E7DE4"/>
    <w:rsid w:val="009F077E"/>
    <w:rsid w:val="009F3048"/>
    <w:rsid w:val="009F3BBD"/>
    <w:rsid w:val="00A063DD"/>
    <w:rsid w:val="00A112B5"/>
    <w:rsid w:val="00A14EEA"/>
    <w:rsid w:val="00A23412"/>
    <w:rsid w:val="00A44FBB"/>
    <w:rsid w:val="00A46551"/>
    <w:rsid w:val="00A50104"/>
    <w:rsid w:val="00A522E0"/>
    <w:rsid w:val="00A52E43"/>
    <w:rsid w:val="00A63579"/>
    <w:rsid w:val="00A638AC"/>
    <w:rsid w:val="00A727E5"/>
    <w:rsid w:val="00A748B5"/>
    <w:rsid w:val="00A80A32"/>
    <w:rsid w:val="00A82A98"/>
    <w:rsid w:val="00A82D16"/>
    <w:rsid w:val="00A84822"/>
    <w:rsid w:val="00A95F75"/>
    <w:rsid w:val="00A96B83"/>
    <w:rsid w:val="00AA355B"/>
    <w:rsid w:val="00AA42E5"/>
    <w:rsid w:val="00AA74CF"/>
    <w:rsid w:val="00AB24FA"/>
    <w:rsid w:val="00AD7B5A"/>
    <w:rsid w:val="00AE16C0"/>
    <w:rsid w:val="00AE229F"/>
    <w:rsid w:val="00AF5E20"/>
    <w:rsid w:val="00B00198"/>
    <w:rsid w:val="00B002FA"/>
    <w:rsid w:val="00B00327"/>
    <w:rsid w:val="00B024B3"/>
    <w:rsid w:val="00B11DE8"/>
    <w:rsid w:val="00B179ED"/>
    <w:rsid w:val="00B20E18"/>
    <w:rsid w:val="00B26A88"/>
    <w:rsid w:val="00B345C8"/>
    <w:rsid w:val="00B572C4"/>
    <w:rsid w:val="00B60858"/>
    <w:rsid w:val="00B61DCA"/>
    <w:rsid w:val="00B65F04"/>
    <w:rsid w:val="00B74D4E"/>
    <w:rsid w:val="00B80219"/>
    <w:rsid w:val="00B82718"/>
    <w:rsid w:val="00BA19A5"/>
    <w:rsid w:val="00BB7C76"/>
    <w:rsid w:val="00BC67F6"/>
    <w:rsid w:val="00BD2004"/>
    <w:rsid w:val="00BD4B12"/>
    <w:rsid w:val="00BE2F92"/>
    <w:rsid w:val="00BF0D5F"/>
    <w:rsid w:val="00C0083E"/>
    <w:rsid w:val="00C05245"/>
    <w:rsid w:val="00C11EB4"/>
    <w:rsid w:val="00C12746"/>
    <w:rsid w:val="00C24C08"/>
    <w:rsid w:val="00C25827"/>
    <w:rsid w:val="00C309E7"/>
    <w:rsid w:val="00C31BB8"/>
    <w:rsid w:val="00C32BBC"/>
    <w:rsid w:val="00C373EA"/>
    <w:rsid w:val="00C530DA"/>
    <w:rsid w:val="00C621C1"/>
    <w:rsid w:val="00C62989"/>
    <w:rsid w:val="00C65CBB"/>
    <w:rsid w:val="00C80F37"/>
    <w:rsid w:val="00C97A7F"/>
    <w:rsid w:val="00CB5B17"/>
    <w:rsid w:val="00CC4443"/>
    <w:rsid w:val="00CC5935"/>
    <w:rsid w:val="00CC5CAF"/>
    <w:rsid w:val="00CF7D93"/>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638BD"/>
    <w:rsid w:val="00D71417"/>
    <w:rsid w:val="00D875ED"/>
    <w:rsid w:val="00D877D0"/>
    <w:rsid w:val="00D90013"/>
    <w:rsid w:val="00D91B9C"/>
    <w:rsid w:val="00D92C1B"/>
    <w:rsid w:val="00D94CC7"/>
    <w:rsid w:val="00DA1AF4"/>
    <w:rsid w:val="00DB0C60"/>
    <w:rsid w:val="00DC641A"/>
    <w:rsid w:val="00DD084D"/>
    <w:rsid w:val="00DD6B7D"/>
    <w:rsid w:val="00DD6E14"/>
    <w:rsid w:val="00DE15AC"/>
    <w:rsid w:val="00E061EC"/>
    <w:rsid w:val="00E072CB"/>
    <w:rsid w:val="00E13E51"/>
    <w:rsid w:val="00E32BCC"/>
    <w:rsid w:val="00E43EAD"/>
    <w:rsid w:val="00E62DCB"/>
    <w:rsid w:val="00E651DD"/>
    <w:rsid w:val="00E66558"/>
    <w:rsid w:val="00E70D81"/>
    <w:rsid w:val="00E726A6"/>
    <w:rsid w:val="00E86F05"/>
    <w:rsid w:val="00E90827"/>
    <w:rsid w:val="00EA3A2A"/>
    <w:rsid w:val="00EB4556"/>
    <w:rsid w:val="00EB64C8"/>
    <w:rsid w:val="00ED5108"/>
    <w:rsid w:val="00F00C19"/>
    <w:rsid w:val="00F012CA"/>
    <w:rsid w:val="00F01752"/>
    <w:rsid w:val="00F0355A"/>
    <w:rsid w:val="00F11F24"/>
    <w:rsid w:val="00F24A7E"/>
    <w:rsid w:val="00F33DC0"/>
    <w:rsid w:val="00F35F2C"/>
    <w:rsid w:val="00F62587"/>
    <w:rsid w:val="00F63E9E"/>
    <w:rsid w:val="00F658B7"/>
    <w:rsid w:val="00F7098D"/>
    <w:rsid w:val="00F76843"/>
    <w:rsid w:val="00F76A68"/>
    <w:rsid w:val="00F776E1"/>
    <w:rsid w:val="00F925EB"/>
    <w:rsid w:val="00FA6DD0"/>
    <w:rsid w:val="00FA7400"/>
    <w:rsid w:val="00FB32F9"/>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B32F9"/>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FB32F9"/>
  </w:style>
  <w:style w:type="character" w:customStyle="1" w:styleId="eop">
    <w:name w:val="eop"/>
    <w:basedOn w:val="DefaultParagraphFont"/>
    <w:rsid w:val="00FB3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348559041">
      <w:bodyDiv w:val="1"/>
      <w:marLeft w:val="0"/>
      <w:marRight w:val="0"/>
      <w:marTop w:val="0"/>
      <w:marBottom w:val="0"/>
      <w:divBdr>
        <w:top w:val="none" w:sz="0" w:space="0" w:color="auto"/>
        <w:left w:val="none" w:sz="0" w:space="0" w:color="auto"/>
        <w:bottom w:val="none" w:sz="0" w:space="0" w:color="auto"/>
        <w:right w:val="none" w:sz="0" w:space="0" w:color="auto"/>
      </w:divBdr>
      <w:divsChild>
        <w:div w:id="2076659971">
          <w:marLeft w:val="0"/>
          <w:marRight w:val="0"/>
          <w:marTop w:val="0"/>
          <w:marBottom w:val="0"/>
          <w:divBdr>
            <w:top w:val="none" w:sz="0" w:space="0" w:color="auto"/>
            <w:left w:val="none" w:sz="0" w:space="0" w:color="auto"/>
            <w:bottom w:val="none" w:sz="0" w:space="0" w:color="auto"/>
            <w:right w:val="none" w:sz="0" w:space="0" w:color="auto"/>
          </w:divBdr>
          <w:divsChild>
            <w:div w:id="633680112">
              <w:marLeft w:val="0"/>
              <w:marRight w:val="0"/>
              <w:marTop w:val="0"/>
              <w:marBottom w:val="0"/>
              <w:divBdr>
                <w:top w:val="none" w:sz="0" w:space="0" w:color="auto"/>
                <w:left w:val="none" w:sz="0" w:space="0" w:color="auto"/>
                <w:bottom w:val="none" w:sz="0" w:space="0" w:color="auto"/>
                <w:right w:val="none" w:sz="0" w:space="0" w:color="auto"/>
              </w:divBdr>
            </w:div>
          </w:divsChild>
        </w:div>
        <w:div w:id="400444681">
          <w:marLeft w:val="0"/>
          <w:marRight w:val="0"/>
          <w:marTop w:val="0"/>
          <w:marBottom w:val="0"/>
          <w:divBdr>
            <w:top w:val="none" w:sz="0" w:space="0" w:color="auto"/>
            <w:left w:val="none" w:sz="0" w:space="0" w:color="auto"/>
            <w:bottom w:val="none" w:sz="0" w:space="0" w:color="auto"/>
            <w:right w:val="none" w:sz="0" w:space="0" w:color="auto"/>
          </w:divBdr>
          <w:divsChild>
            <w:div w:id="24336791">
              <w:marLeft w:val="0"/>
              <w:marRight w:val="0"/>
              <w:marTop w:val="0"/>
              <w:marBottom w:val="0"/>
              <w:divBdr>
                <w:top w:val="none" w:sz="0" w:space="0" w:color="auto"/>
                <w:left w:val="none" w:sz="0" w:space="0" w:color="auto"/>
                <w:bottom w:val="none" w:sz="0" w:space="0" w:color="auto"/>
                <w:right w:val="none" w:sz="0" w:space="0" w:color="auto"/>
              </w:divBdr>
            </w:div>
          </w:divsChild>
        </w:div>
        <w:div w:id="1171870792">
          <w:marLeft w:val="0"/>
          <w:marRight w:val="0"/>
          <w:marTop w:val="0"/>
          <w:marBottom w:val="0"/>
          <w:divBdr>
            <w:top w:val="none" w:sz="0" w:space="0" w:color="auto"/>
            <w:left w:val="none" w:sz="0" w:space="0" w:color="auto"/>
            <w:bottom w:val="none" w:sz="0" w:space="0" w:color="auto"/>
            <w:right w:val="none" w:sz="0" w:space="0" w:color="auto"/>
          </w:divBdr>
          <w:divsChild>
            <w:div w:id="1582449424">
              <w:marLeft w:val="0"/>
              <w:marRight w:val="0"/>
              <w:marTop w:val="0"/>
              <w:marBottom w:val="0"/>
              <w:divBdr>
                <w:top w:val="none" w:sz="0" w:space="0" w:color="auto"/>
                <w:left w:val="none" w:sz="0" w:space="0" w:color="auto"/>
                <w:bottom w:val="none" w:sz="0" w:space="0" w:color="auto"/>
                <w:right w:val="none" w:sz="0" w:space="0" w:color="auto"/>
              </w:divBdr>
            </w:div>
          </w:divsChild>
        </w:div>
        <w:div w:id="1256087642">
          <w:marLeft w:val="0"/>
          <w:marRight w:val="0"/>
          <w:marTop w:val="0"/>
          <w:marBottom w:val="0"/>
          <w:divBdr>
            <w:top w:val="none" w:sz="0" w:space="0" w:color="auto"/>
            <w:left w:val="none" w:sz="0" w:space="0" w:color="auto"/>
            <w:bottom w:val="none" w:sz="0" w:space="0" w:color="auto"/>
            <w:right w:val="none" w:sz="0" w:space="0" w:color="auto"/>
          </w:divBdr>
          <w:divsChild>
            <w:div w:id="1562718250">
              <w:marLeft w:val="0"/>
              <w:marRight w:val="0"/>
              <w:marTop w:val="0"/>
              <w:marBottom w:val="0"/>
              <w:divBdr>
                <w:top w:val="none" w:sz="0" w:space="0" w:color="auto"/>
                <w:left w:val="none" w:sz="0" w:space="0" w:color="auto"/>
                <w:bottom w:val="none" w:sz="0" w:space="0" w:color="auto"/>
                <w:right w:val="none" w:sz="0" w:space="0" w:color="auto"/>
              </w:divBdr>
            </w:div>
          </w:divsChild>
        </w:div>
        <w:div w:id="261033040">
          <w:marLeft w:val="0"/>
          <w:marRight w:val="0"/>
          <w:marTop w:val="0"/>
          <w:marBottom w:val="0"/>
          <w:divBdr>
            <w:top w:val="none" w:sz="0" w:space="0" w:color="auto"/>
            <w:left w:val="none" w:sz="0" w:space="0" w:color="auto"/>
            <w:bottom w:val="none" w:sz="0" w:space="0" w:color="auto"/>
            <w:right w:val="none" w:sz="0" w:space="0" w:color="auto"/>
          </w:divBdr>
          <w:divsChild>
            <w:div w:id="214856656">
              <w:marLeft w:val="0"/>
              <w:marRight w:val="0"/>
              <w:marTop w:val="0"/>
              <w:marBottom w:val="0"/>
              <w:divBdr>
                <w:top w:val="none" w:sz="0" w:space="0" w:color="auto"/>
                <w:left w:val="none" w:sz="0" w:space="0" w:color="auto"/>
                <w:bottom w:val="none" w:sz="0" w:space="0" w:color="auto"/>
                <w:right w:val="none" w:sz="0" w:space="0" w:color="auto"/>
              </w:divBdr>
            </w:div>
          </w:divsChild>
        </w:div>
        <w:div w:id="1718892472">
          <w:marLeft w:val="0"/>
          <w:marRight w:val="0"/>
          <w:marTop w:val="0"/>
          <w:marBottom w:val="0"/>
          <w:divBdr>
            <w:top w:val="none" w:sz="0" w:space="0" w:color="auto"/>
            <w:left w:val="none" w:sz="0" w:space="0" w:color="auto"/>
            <w:bottom w:val="none" w:sz="0" w:space="0" w:color="auto"/>
            <w:right w:val="none" w:sz="0" w:space="0" w:color="auto"/>
          </w:divBdr>
          <w:divsChild>
            <w:div w:id="1760321989">
              <w:marLeft w:val="0"/>
              <w:marRight w:val="0"/>
              <w:marTop w:val="0"/>
              <w:marBottom w:val="0"/>
              <w:divBdr>
                <w:top w:val="none" w:sz="0" w:space="0" w:color="auto"/>
                <w:left w:val="none" w:sz="0" w:space="0" w:color="auto"/>
                <w:bottom w:val="none" w:sz="0" w:space="0" w:color="auto"/>
                <w:right w:val="none" w:sz="0" w:space="0" w:color="auto"/>
              </w:divBdr>
            </w:div>
          </w:divsChild>
        </w:div>
        <w:div w:id="822038936">
          <w:marLeft w:val="0"/>
          <w:marRight w:val="0"/>
          <w:marTop w:val="0"/>
          <w:marBottom w:val="0"/>
          <w:divBdr>
            <w:top w:val="none" w:sz="0" w:space="0" w:color="auto"/>
            <w:left w:val="none" w:sz="0" w:space="0" w:color="auto"/>
            <w:bottom w:val="none" w:sz="0" w:space="0" w:color="auto"/>
            <w:right w:val="none" w:sz="0" w:space="0" w:color="auto"/>
          </w:divBdr>
          <w:divsChild>
            <w:div w:id="868295036">
              <w:marLeft w:val="0"/>
              <w:marRight w:val="0"/>
              <w:marTop w:val="0"/>
              <w:marBottom w:val="0"/>
              <w:divBdr>
                <w:top w:val="none" w:sz="0" w:space="0" w:color="auto"/>
                <w:left w:val="none" w:sz="0" w:space="0" w:color="auto"/>
                <w:bottom w:val="none" w:sz="0" w:space="0" w:color="auto"/>
                <w:right w:val="none" w:sz="0" w:space="0" w:color="auto"/>
              </w:divBdr>
            </w:div>
          </w:divsChild>
        </w:div>
        <w:div w:id="1837185521">
          <w:marLeft w:val="0"/>
          <w:marRight w:val="0"/>
          <w:marTop w:val="0"/>
          <w:marBottom w:val="0"/>
          <w:divBdr>
            <w:top w:val="none" w:sz="0" w:space="0" w:color="auto"/>
            <w:left w:val="none" w:sz="0" w:space="0" w:color="auto"/>
            <w:bottom w:val="none" w:sz="0" w:space="0" w:color="auto"/>
            <w:right w:val="none" w:sz="0" w:space="0" w:color="auto"/>
          </w:divBdr>
          <w:divsChild>
            <w:div w:id="1155417763">
              <w:marLeft w:val="0"/>
              <w:marRight w:val="0"/>
              <w:marTop w:val="0"/>
              <w:marBottom w:val="0"/>
              <w:divBdr>
                <w:top w:val="none" w:sz="0" w:space="0" w:color="auto"/>
                <w:left w:val="none" w:sz="0" w:space="0" w:color="auto"/>
                <w:bottom w:val="none" w:sz="0" w:space="0" w:color="auto"/>
                <w:right w:val="none" w:sz="0" w:space="0" w:color="auto"/>
              </w:divBdr>
            </w:div>
          </w:divsChild>
        </w:div>
        <w:div w:id="1166824645">
          <w:marLeft w:val="0"/>
          <w:marRight w:val="0"/>
          <w:marTop w:val="0"/>
          <w:marBottom w:val="0"/>
          <w:divBdr>
            <w:top w:val="none" w:sz="0" w:space="0" w:color="auto"/>
            <w:left w:val="none" w:sz="0" w:space="0" w:color="auto"/>
            <w:bottom w:val="none" w:sz="0" w:space="0" w:color="auto"/>
            <w:right w:val="none" w:sz="0" w:space="0" w:color="auto"/>
          </w:divBdr>
          <w:divsChild>
            <w:div w:id="1638992815">
              <w:marLeft w:val="0"/>
              <w:marRight w:val="0"/>
              <w:marTop w:val="0"/>
              <w:marBottom w:val="0"/>
              <w:divBdr>
                <w:top w:val="none" w:sz="0" w:space="0" w:color="auto"/>
                <w:left w:val="none" w:sz="0" w:space="0" w:color="auto"/>
                <w:bottom w:val="none" w:sz="0" w:space="0" w:color="auto"/>
                <w:right w:val="none" w:sz="0" w:space="0" w:color="auto"/>
              </w:divBdr>
            </w:div>
          </w:divsChild>
        </w:div>
        <w:div w:id="1282149371">
          <w:marLeft w:val="0"/>
          <w:marRight w:val="0"/>
          <w:marTop w:val="0"/>
          <w:marBottom w:val="0"/>
          <w:divBdr>
            <w:top w:val="none" w:sz="0" w:space="0" w:color="auto"/>
            <w:left w:val="none" w:sz="0" w:space="0" w:color="auto"/>
            <w:bottom w:val="none" w:sz="0" w:space="0" w:color="auto"/>
            <w:right w:val="none" w:sz="0" w:space="0" w:color="auto"/>
          </w:divBdr>
          <w:divsChild>
            <w:div w:id="798839829">
              <w:marLeft w:val="0"/>
              <w:marRight w:val="0"/>
              <w:marTop w:val="0"/>
              <w:marBottom w:val="0"/>
              <w:divBdr>
                <w:top w:val="none" w:sz="0" w:space="0" w:color="auto"/>
                <w:left w:val="none" w:sz="0" w:space="0" w:color="auto"/>
                <w:bottom w:val="none" w:sz="0" w:space="0" w:color="auto"/>
                <w:right w:val="none" w:sz="0" w:space="0" w:color="auto"/>
              </w:divBdr>
            </w:div>
            <w:div w:id="1500659758">
              <w:marLeft w:val="0"/>
              <w:marRight w:val="0"/>
              <w:marTop w:val="0"/>
              <w:marBottom w:val="0"/>
              <w:divBdr>
                <w:top w:val="none" w:sz="0" w:space="0" w:color="auto"/>
                <w:left w:val="none" w:sz="0" w:space="0" w:color="auto"/>
                <w:bottom w:val="none" w:sz="0" w:space="0" w:color="auto"/>
                <w:right w:val="none" w:sz="0" w:space="0" w:color="auto"/>
              </w:divBdr>
            </w:div>
          </w:divsChild>
        </w:div>
        <w:div w:id="233855387">
          <w:marLeft w:val="0"/>
          <w:marRight w:val="0"/>
          <w:marTop w:val="0"/>
          <w:marBottom w:val="0"/>
          <w:divBdr>
            <w:top w:val="none" w:sz="0" w:space="0" w:color="auto"/>
            <w:left w:val="none" w:sz="0" w:space="0" w:color="auto"/>
            <w:bottom w:val="none" w:sz="0" w:space="0" w:color="auto"/>
            <w:right w:val="none" w:sz="0" w:space="0" w:color="auto"/>
          </w:divBdr>
          <w:divsChild>
            <w:div w:id="583073798">
              <w:marLeft w:val="0"/>
              <w:marRight w:val="0"/>
              <w:marTop w:val="0"/>
              <w:marBottom w:val="0"/>
              <w:divBdr>
                <w:top w:val="none" w:sz="0" w:space="0" w:color="auto"/>
                <w:left w:val="none" w:sz="0" w:space="0" w:color="auto"/>
                <w:bottom w:val="none" w:sz="0" w:space="0" w:color="auto"/>
                <w:right w:val="none" w:sz="0" w:space="0" w:color="auto"/>
              </w:divBdr>
            </w:div>
            <w:div w:id="2083094487">
              <w:marLeft w:val="0"/>
              <w:marRight w:val="0"/>
              <w:marTop w:val="0"/>
              <w:marBottom w:val="0"/>
              <w:divBdr>
                <w:top w:val="none" w:sz="0" w:space="0" w:color="auto"/>
                <w:left w:val="none" w:sz="0" w:space="0" w:color="auto"/>
                <w:bottom w:val="none" w:sz="0" w:space="0" w:color="auto"/>
                <w:right w:val="none" w:sz="0" w:space="0" w:color="auto"/>
              </w:divBdr>
            </w:div>
          </w:divsChild>
        </w:div>
        <w:div w:id="1420326779">
          <w:marLeft w:val="0"/>
          <w:marRight w:val="0"/>
          <w:marTop w:val="0"/>
          <w:marBottom w:val="0"/>
          <w:divBdr>
            <w:top w:val="none" w:sz="0" w:space="0" w:color="auto"/>
            <w:left w:val="none" w:sz="0" w:space="0" w:color="auto"/>
            <w:bottom w:val="none" w:sz="0" w:space="0" w:color="auto"/>
            <w:right w:val="none" w:sz="0" w:space="0" w:color="auto"/>
          </w:divBdr>
          <w:divsChild>
            <w:div w:id="1101417549">
              <w:marLeft w:val="0"/>
              <w:marRight w:val="0"/>
              <w:marTop w:val="0"/>
              <w:marBottom w:val="0"/>
              <w:divBdr>
                <w:top w:val="none" w:sz="0" w:space="0" w:color="auto"/>
                <w:left w:val="none" w:sz="0" w:space="0" w:color="auto"/>
                <w:bottom w:val="none" w:sz="0" w:space="0" w:color="auto"/>
                <w:right w:val="none" w:sz="0" w:space="0" w:color="auto"/>
              </w:divBdr>
            </w:div>
            <w:div w:id="1423377570">
              <w:marLeft w:val="0"/>
              <w:marRight w:val="0"/>
              <w:marTop w:val="0"/>
              <w:marBottom w:val="0"/>
              <w:divBdr>
                <w:top w:val="none" w:sz="0" w:space="0" w:color="auto"/>
                <w:left w:val="none" w:sz="0" w:space="0" w:color="auto"/>
                <w:bottom w:val="none" w:sz="0" w:space="0" w:color="auto"/>
                <w:right w:val="none" w:sz="0" w:space="0" w:color="auto"/>
              </w:divBdr>
            </w:div>
          </w:divsChild>
        </w:div>
        <w:div w:id="1776318129">
          <w:marLeft w:val="0"/>
          <w:marRight w:val="0"/>
          <w:marTop w:val="0"/>
          <w:marBottom w:val="0"/>
          <w:divBdr>
            <w:top w:val="none" w:sz="0" w:space="0" w:color="auto"/>
            <w:left w:val="none" w:sz="0" w:space="0" w:color="auto"/>
            <w:bottom w:val="none" w:sz="0" w:space="0" w:color="auto"/>
            <w:right w:val="none" w:sz="0" w:space="0" w:color="auto"/>
          </w:divBdr>
          <w:divsChild>
            <w:div w:id="1396245140">
              <w:marLeft w:val="0"/>
              <w:marRight w:val="0"/>
              <w:marTop w:val="0"/>
              <w:marBottom w:val="0"/>
              <w:divBdr>
                <w:top w:val="none" w:sz="0" w:space="0" w:color="auto"/>
                <w:left w:val="none" w:sz="0" w:space="0" w:color="auto"/>
                <w:bottom w:val="none" w:sz="0" w:space="0" w:color="auto"/>
                <w:right w:val="none" w:sz="0" w:space="0" w:color="auto"/>
              </w:divBdr>
            </w:div>
          </w:divsChild>
        </w:div>
        <w:div w:id="1614749560">
          <w:marLeft w:val="0"/>
          <w:marRight w:val="0"/>
          <w:marTop w:val="0"/>
          <w:marBottom w:val="0"/>
          <w:divBdr>
            <w:top w:val="none" w:sz="0" w:space="0" w:color="auto"/>
            <w:left w:val="none" w:sz="0" w:space="0" w:color="auto"/>
            <w:bottom w:val="none" w:sz="0" w:space="0" w:color="auto"/>
            <w:right w:val="none" w:sz="0" w:space="0" w:color="auto"/>
          </w:divBdr>
          <w:divsChild>
            <w:div w:id="15737100">
              <w:marLeft w:val="0"/>
              <w:marRight w:val="0"/>
              <w:marTop w:val="0"/>
              <w:marBottom w:val="0"/>
              <w:divBdr>
                <w:top w:val="none" w:sz="0" w:space="0" w:color="auto"/>
                <w:left w:val="none" w:sz="0" w:space="0" w:color="auto"/>
                <w:bottom w:val="none" w:sz="0" w:space="0" w:color="auto"/>
                <w:right w:val="none" w:sz="0" w:space="0" w:color="auto"/>
              </w:divBdr>
            </w:div>
            <w:div w:id="1808624970">
              <w:marLeft w:val="0"/>
              <w:marRight w:val="0"/>
              <w:marTop w:val="0"/>
              <w:marBottom w:val="0"/>
              <w:divBdr>
                <w:top w:val="none" w:sz="0" w:space="0" w:color="auto"/>
                <w:left w:val="none" w:sz="0" w:space="0" w:color="auto"/>
                <w:bottom w:val="none" w:sz="0" w:space="0" w:color="auto"/>
                <w:right w:val="none" w:sz="0" w:space="0" w:color="auto"/>
              </w:divBdr>
            </w:div>
          </w:divsChild>
        </w:div>
        <w:div w:id="748038024">
          <w:marLeft w:val="0"/>
          <w:marRight w:val="0"/>
          <w:marTop w:val="0"/>
          <w:marBottom w:val="0"/>
          <w:divBdr>
            <w:top w:val="none" w:sz="0" w:space="0" w:color="auto"/>
            <w:left w:val="none" w:sz="0" w:space="0" w:color="auto"/>
            <w:bottom w:val="none" w:sz="0" w:space="0" w:color="auto"/>
            <w:right w:val="none" w:sz="0" w:space="0" w:color="auto"/>
          </w:divBdr>
          <w:divsChild>
            <w:div w:id="1191410316">
              <w:marLeft w:val="0"/>
              <w:marRight w:val="0"/>
              <w:marTop w:val="0"/>
              <w:marBottom w:val="0"/>
              <w:divBdr>
                <w:top w:val="none" w:sz="0" w:space="0" w:color="auto"/>
                <w:left w:val="none" w:sz="0" w:space="0" w:color="auto"/>
                <w:bottom w:val="none" w:sz="0" w:space="0" w:color="auto"/>
                <w:right w:val="none" w:sz="0" w:space="0" w:color="auto"/>
              </w:divBdr>
            </w:div>
            <w:div w:id="2053770168">
              <w:marLeft w:val="0"/>
              <w:marRight w:val="0"/>
              <w:marTop w:val="0"/>
              <w:marBottom w:val="0"/>
              <w:divBdr>
                <w:top w:val="none" w:sz="0" w:space="0" w:color="auto"/>
                <w:left w:val="none" w:sz="0" w:space="0" w:color="auto"/>
                <w:bottom w:val="none" w:sz="0" w:space="0" w:color="auto"/>
                <w:right w:val="none" w:sz="0" w:space="0" w:color="auto"/>
              </w:divBdr>
            </w:div>
          </w:divsChild>
        </w:div>
        <w:div w:id="1436831286">
          <w:marLeft w:val="0"/>
          <w:marRight w:val="0"/>
          <w:marTop w:val="0"/>
          <w:marBottom w:val="0"/>
          <w:divBdr>
            <w:top w:val="none" w:sz="0" w:space="0" w:color="auto"/>
            <w:left w:val="none" w:sz="0" w:space="0" w:color="auto"/>
            <w:bottom w:val="none" w:sz="0" w:space="0" w:color="auto"/>
            <w:right w:val="none" w:sz="0" w:space="0" w:color="auto"/>
          </w:divBdr>
          <w:divsChild>
            <w:div w:id="325523535">
              <w:marLeft w:val="0"/>
              <w:marRight w:val="0"/>
              <w:marTop w:val="0"/>
              <w:marBottom w:val="0"/>
              <w:divBdr>
                <w:top w:val="none" w:sz="0" w:space="0" w:color="auto"/>
                <w:left w:val="none" w:sz="0" w:space="0" w:color="auto"/>
                <w:bottom w:val="none" w:sz="0" w:space="0" w:color="auto"/>
                <w:right w:val="none" w:sz="0" w:space="0" w:color="auto"/>
              </w:divBdr>
            </w:div>
            <w:div w:id="298464148">
              <w:marLeft w:val="0"/>
              <w:marRight w:val="0"/>
              <w:marTop w:val="0"/>
              <w:marBottom w:val="0"/>
              <w:divBdr>
                <w:top w:val="none" w:sz="0" w:space="0" w:color="auto"/>
                <w:left w:val="none" w:sz="0" w:space="0" w:color="auto"/>
                <w:bottom w:val="none" w:sz="0" w:space="0" w:color="auto"/>
                <w:right w:val="none" w:sz="0" w:space="0" w:color="auto"/>
              </w:divBdr>
            </w:div>
          </w:divsChild>
        </w:div>
        <w:div w:id="316304432">
          <w:marLeft w:val="0"/>
          <w:marRight w:val="0"/>
          <w:marTop w:val="0"/>
          <w:marBottom w:val="0"/>
          <w:divBdr>
            <w:top w:val="none" w:sz="0" w:space="0" w:color="auto"/>
            <w:left w:val="none" w:sz="0" w:space="0" w:color="auto"/>
            <w:bottom w:val="none" w:sz="0" w:space="0" w:color="auto"/>
            <w:right w:val="none" w:sz="0" w:space="0" w:color="auto"/>
          </w:divBdr>
          <w:divsChild>
            <w:div w:id="202179398">
              <w:marLeft w:val="0"/>
              <w:marRight w:val="0"/>
              <w:marTop w:val="0"/>
              <w:marBottom w:val="0"/>
              <w:divBdr>
                <w:top w:val="none" w:sz="0" w:space="0" w:color="auto"/>
                <w:left w:val="none" w:sz="0" w:space="0" w:color="auto"/>
                <w:bottom w:val="none" w:sz="0" w:space="0" w:color="auto"/>
                <w:right w:val="none" w:sz="0" w:space="0" w:color="auto"/>
              </w:divBdr>
            </w:div>
          </w:divsChild>
        </w:div>
        <w:div w:id="758528529">
          <w:marLeft w:val="0"/>
          <w:marRight w:val="0"/>
          <w:marTop w:val="0"/>
          <w:marBottom w:val="0"/>
          <w:divBdr>
            <w:top w:val="none" w:sz="0" w:space="0" w:color="auto"/>
            <w:left w:val="none" w:sz="0" w:space="0" w:color="auto"/>
            <w:bottom w:val="none" w:sz="0" w:space="0" w:color="auto"/>
            <w:right w:val="none" w:sz="0" w:space="0" w:color="auto"/>
          </w:divBdr>
          <w:divsChild>
            <w:div w:id="416174218">
              <w:marLeft w:val="0"/>
              <w:marRight w:val="0"/>
              <w:marTop w:val="0"/>
              <w:marBottom w:val="0"/>
              <w:divBdr>
                <w:top w:val="none" w:sz="0" w:space="0" w:color="auto"/>
                <w:left w:val="none" w:sz="0" w:space="0" w:color="auto"/>
                <w:bottom w:val="none" w:sz="0" w:space="0" w:color="auto"/>
                <w:right w:val="none" w:sz="0" w:space="0" w:color="auto"/>
              </w:divBdr>
            </w:div>
            <w:div w:id="1738747845">
              <w:marLeft w:val="0"/>
              <w:marRight w:val="0"/>
              <w:marTop w:val="0"/>
              <w:marBottom w:val="0"/>
              <w:divBdr>
                <w:top w:val="none" w:sz="0" w:space="0" w:color="auto"/>
                <w:left w:val="none" w:sz="0" w:space="0" w:color="auto"/>
                <w:bottom w:val="none" w:sz="0" w:space="0" w:color="auto"/>
                <w:right w:val="none" w:sz="0" w:space="0" w:color="auto"/>
              </w:divBdr>
            </w:div>
          </w:divsChild>
        </w:div>
        <w:div w:id="509029180">
          <w:marLeft w:val="0"/>
          <w:marRight w:val="0"/>
          <w:marTop w:val="0"/>
          <w:marBottom w:val="0"/>
          <w:divBdr>
            <w:top w:val="none" w:sz="0" w:space="0" w:color="auto"/>
            <w:left w:val="none" w:sz="0" w:space="0" w:color="auto"/>
            <w:bottom w:val="none" w:sz="0" w:space="0" w:color="auto"/>
            <w:right w:val="none" w:sz="0" w:space="0" w:color="auto"/>
          </w:divBdr>
          <w:divsChild>
            <w:div w:id="981082828">
              <w:marLeft w:val="0"/>
              <w:marRight w:val="0"/>
              <w:marTop w:val="0"/>
              <w:marBottom w:val="0"/>
              <w:divBdr>
                <w:top w:val="none" w:sz="0" w:space="0" w:color="auto"/>
                <w:left w:val="none" w:sz="0" w:space="0" w:color="auto"/>
                <w:bottom w:val="none" w:sz="0" w:space="0" w:color="auto"/>
                <w:right w:val="none" w:sz="0" w:space="0" w:color="auto"/>
              </w:divBdr>
            </w:div>
            <w:div w:id="40063112">
              <w:marLeft w:val="0"/>
              <w:marRight w:val="0"/>
              <w:marTop w:val="0"/>
              <w:marBottom w:val="0"/>
              <w:divBdr>
                <w:top w:val="none" w:sz="0" w:space="0" w:color="auto"/>
                <w:left w:val="none" w:sz="0" w:space="0" w:color="auto"/>
                <w:bottom w:val="none" w:sz="0" w:space="0" w:color="auto"/>
                <w:right w:val="none" w:sz="0" w:space="0" w:color="auto"/>
              </w:divBdr>
            </w:div>
          </w:divsChild>
        </w:div>
        <w:div w:id="1982422051">
          <w:marLeft w:val="0"/>
          <w:marRight w:val="0"/>
          <w:marTop w:val="0"/>
          <w:marBottom w:val="0"/>
          <w:divBdr>
            <w:top w:val="none" w:sz="0" w:space="0" w:color="auto"/>
            <w:left w:val="none" w:sz="0" w:space="0" w:color="auto"/>
            <w:bottom w:val="none" w:sz="0" w:space="0" w:color="auto"/>
            <w:right w:val="none" w:sz="0" w:space="0" w:color="auto"/>
          </w:divBdr>
          <w:divsChild>
            <w:div w:id="779571410">
              <w:marLeft w:val="0"/>
              <w:marRight w:val="0"/>
              <w:marTop w:val="0"/>
              <w:marBottom w:val="0"/>
              <w:divBdr>
                <w:top w:val="none" w:sz="0" w:space="0" w:color="auto"/>
                <w:left w:val="none" w:sz="0" w:space="0" w:color="auto"/>
                <w:bottom w:val="none" w:sz="0" w:space="0" w:color="auto"/>
                <w:right w:val="none" w:sz="0" w:space="0" w:color="auto"/>
              </w:divBdr>
            </w:div>
            <w:div w:id="940188003">
              <w:marLeft w:val="0"/>
              <w:marRight w:val="0"/>
              <w:marTop w:val="0"/>
              <w:marBottom w:val="0"/>
              <w:divBdr>
                <w:top w:val="none" w:sz="0" w:space="0" w:color="auto"/>
                <w:left w:val="none" w:sz="0" w:space="0" w:color="auto"/>
                <w:bottom w:val="none" w:sz="0" w:space="0" w:color="auto"/>
                <w:right w:val="none" w:sz="0" w:space="0" w:color="auto"/>
              </w:divBdr>
            </w:div>
          </w:divsChild>
        </w:div>
        <w:div w:id="2089229129">
          <w:marLeft w:val="0"/>
          <w:marRight w:val="0"/>
          <w:marTop w:val="0"/>
          <w:marBottom w:val="0"/>
          <w:divBdr>
            <w:top w:val="none" w:sz="0" w:space="0" w:color="auto"/>
            <w:left w:val="none" w:sz="0" w:space="0" w:color="auto"/>
            <w:bottom w:val="none" w:sz="0" w:space="0" w:color="auto"/>
            <w:right w:val="none" w:sz="0" w:space="0" w:color="auto"/>
          </w:divBdr>
          <w:divsChild>
            <w:div w:id="1565946301">
              <w:marLeft w:val="0"/>
              <w:marRight w:val="0"/>
              <w:marTop w:val="0"/>
              <w:marBottom w:val="0"/>
              <w:divBdr>
                <w:top w:val="none" w:sz="0" w:space="0" w:color="auto"/>
                <w:left w:val="none" w:sz="0" w:space="0" w:color="auto"/>
                <w:bottom w:val="none" w:sz="0" w:space="0" w:color="auto"/>
                <w:right w:val="none" w:sz="0" w:space="0" w:color="auto"/>
              </w:divBdr>
            </w:div>
          </w:divsChild>
        </w:div>
        <w:div w:id="1834222884">
          <w:marLeft w:val="0"/>
          <w:marRight w:val="0"/>
          <w:marTop w:val="0"/>
          <w:marBottom w:val="0"/>
          <w:divBdr>
            <w:top w:val="none" w:sz="0" w:space="0" w:color="auto"/>
            <w:left w:val="none" w:sz="0" w:space="0" w:color="auto"/>
            <w:bottom w:val="none" w:sz="0" w:space="0" w:color="auto"/>
            <w:right w:val="none" w:sz="0" w:space="0" w:color="auto"/>
          </w:divBdr>
          <w:divsChild>
            <w:div w:id="1649628129">
              <w:marLeft w:val="0"/>
              <w:marRight w:val="0"/>
              <w:marTop w:val="0"/>
              <w:marBottom w:val="0"/>
              <w:divBdr>
                <w:top w:val="none" w:sz="0" w:space="0" w:color="auto"/>
                <w:left w:val="none" w:sz="0" w:space="0" w:color="auto"/>
                <w:bottom w:val="none" w:sz="0" w:space="0" w:color="auto"/>
                <w:right w:val="none" w:sz="0" w:space="0" w:color="auto"/>
              </w:divBdr>
            </w:div>
            <w:div w:id="132629">
              <w:marLeft w:val="0"/>
              <w:marRight w:val="0"/>
              <w:marTop w:val="0"/>
              <w:marBottom w:val="0"/>
              <w:divBdr>
                <w:top w:val="none" w:sz="0" w:space="0" w:color="auto"/>
                <w:left w:val="none" w:sz="0" w:space="0" w:color="auto"/>
                <w:bottom w:val="none" w:sz="0" w:space="0" w:color="auto"/>
                <w:right w:val="none" w:sz="0" w:space="0" w:color="auto"/>
              </w:divBdr>
            </w:div>
          </w:divsChild>
        </w:div>
        <w:div w:id="750202871">
          <w:marLeft w:val="0"/>
          <w:marRight w:val="0"/>
          <w:marTop w:val="0"/>
          <w:marBottom w:val="0"/>
          <w:divBdr>
            <w:top w:val="none" w:sz="0" w:space="0" w:color="auto"/>
            <w:left w:val="none" w:sz="0" w:space="0" w:color="auto"/>
            <w:bottom w:val="none" w:sz="0" w:space="0" w:color="auto"/>
            <w:right w:val="none" w:sz="0" w:space="0" w:color="auto"/>
          </w:divBdr>
          <w:divsChild>
            <w:div w:id="1023898298">
              <w:marLeft w:val="0"/>
              <w:marRight w:val="0"/>
              <w:marTop w:val="0"/>
              <w:marBottom w:val="0"/>
              <w:divBdr>
                <w:top w:val="none" w:sz="0" w:space="0" w:color="auto"/>
                <w:left w:val="none" w:sz="0" w:space="0" w:color="auto"/>
                <w:bottom w:val="none" w:sz="0" w:space="0" w:color="auto"/>
                <w:right w:val="none" w:sz="0" w:space="0" w:color="auto"/>
              </w:divBdr>
            </w:div>
            <w:div w:id="2041465672">
              <w:marLeft w:val="0"/>
              <w:marRight w:val="0"/>
              <w:marTop w:val="0"/>
              <w:marBottom w:val="0"/>
              <w:divBdr>
                <w:top w:val="none" w:sz="0" w:space="0" w:color="auto"/>
                <w:left w:val="none" w:sz="0" w:space="0" w:color="auto"/>
                <w:bottom w:val="none" w:sz="0" w:space="0" w:color="auto"/>
                <w:right w:val="none" w:sz="0" w:space="0" w:color="auto"/>
              </w:divBdr>
            </w:div>
          </w:divsChild>
        </w:div>
        <w:div w:id="289022368">
          <w:marLeft w:val="0"/>
          <w:marRight w:val="0"/>
          <w:marTop w:val="0"/>
          <w:marBottom w:val="0"/>
          <w:divBdr>
            <w:top w:val="none" w:sz="0" w:space="0" w:color="auto"/>
            <w:left w:val="none" w:sz="0" w:space="0" w:color="auto"/>
            <w:bottom w:val="none" w:sz="0" w:space="0" w:color="auto"/>
            <w:right w:val="none" w:sz="0" w:space="0" w:color="auto"/>
          </w:divBdr>
          <w:divsChild>
            <w:div w:id="607352367">
              <w:marLeft w:val="0"/>
              <w:marRight w:val="0"/>
              <w:marTop w:val="0"/>
              <w:marBottom w:val="0"/>
              <w:divBdr>
                <w:top w:val="none" w:sz="0" w:space="0" w:color="auto"/>
                <w:left w:val="none" w:sz="0" w:space="0" w:color="auto"/>
                <w:bottom w:val="none" w:sz="0" w:space="0" w:color="auto"/>
                <w:right w:val="none" w:sz="0" w:space="0" w:color="auto"/>
              </w:divBdr>
            </w:div>
          </w:divsChild>
        </w:div>
        <w:div w:id="1639259581">
          <w:marLeft w:val="0"/>
          <w:marRight w:val="0"/>
          <w:marTop w:val="0"/>
          <w:marBottom w:val="0"/>
          <w:divBdr>
            <w:top w:val="none" w:sz="0" w:space="0" w:color="auto"/>
            <w:left w:val="none" w:sz="0" w:space="0" w:color="auto"/>
            <w:bottom w:val="none" w:sz="0" w:space="0" w:color="auto"/>
            <w:right w:val="none" w:sz="0" w:space="0" w:color="auto"/>
          </w:divBdr>
          <w:divsChild>
            <w:div w:id="16976239">
              <w:marLeft w:val="0"/>
              <w:marRight w:val="0"/>
              <w:marTop w:val="0"/>
              <w:marBottom w:val="0"/>
              <w:divBdr>
                <w:top w:val="none" w:sz="0" w:space="0" w:color="auto"/>
                <w:left w:val="none" w:sz="0" w:space="0" w:color="auto"/>
                <w:bottom w:val="none" w:sz="0" w:space="0" w:color="auto"/>
                <w:right w:val="none" w:sz="0" w:space="0" w:color="auto"/>
              </w:divBdr>
            </w:div>
          </w:divsChild>
        </w:div>
        <w:div w:id="1520925799">
          <w:marLeft w:val="0"/>
          <w:marRight w:val="0"/>
          <w:marTop w:val="0"/>
          <w:marBottom w:val="0"/>
          <w:divBdr>
            <w:top w:val="none" w:sz="0" w:space="0" w:color="auto"/>
            <w:left w:val="none" w:sz="0" w:space="0" w:color="auto"/>
            <w:bottom w:val="none" w:sz="0" w:space="0" w:color="auto"/>
            <w:right w:val="none" w:sz="0" w:space="0" w:color="auto"/>
          </w:divBdr>
          <w:divsChild>
            <w:div w:id="2039814683">
              <w:marLeft w:val="0"/>
              <w:marRight w:val="0"/>
              <w:marTop w:val="0"/>
              <w:marBottom w:val="0"/>
              <w:divBdr>
                <w:top w:val="none" w:sz="0" w:space="0" w:color="auto"/>
                <w:left w:val="none" w:sz="0" w:space="0" w:color="auto"/>
                <w:bottom w:val="none" w:sz="0" w:space="0" w:color="auto"/>
                <w:right w:val="none" w:sz="0" w:space="0" w:color="auto"/>
              </w:divBdr>
            </w:div>
            <w:div w:id="66459298">
              <w:marLeft w:val="0"/>
              <w:marRight w:val="0"/>
              <w:marTop w:val="0"/>
              <w:marBottom w:val="0"/>
              <w:divBdr>
                <w:top w:val="none" w:sz="0" w:space="0" w:color="auto"/>
                <w:left w:val="none" w:sz="0" w:space="0" w:color="auto"/>
                <w:bottom w:val="none" w:sz="0" w:space="0" w:color="auto"/>
                <w:right w:val="none" w:sz="0" w:space="0" w:color="auto"/>
              </w:divBdr>
            </w:div>
          </w:divsChild>
        </w:div>
        <w:div w:id="145245277">
          <w:marLeft w:val="0"/>
          <w:marRight w:val="0"/>
          <w:marTop w:val="0"/>
          <w:marBottom w:val="0"/>
          <w:divBdr>
            <w:top w:val="none" w:sz="0" w:space="0" w:color="auto"/>
            <w:left w:val="none" w:sz="0" w:space="0" w:color="auto"/>
            <w:bottom w:val="none" w:sz="0" w:space="0" w:color="auto"/>
            <w:right w:val="none" w:sz="0" w:space="0" w:color="auto"/>
          </w:divBdr>
          <w:divsChild>
            <w:div w:id="872574714">
              <w:marLeft w:val="0"/>
              <w:marRight w:val="0"/>
              <w:marTop w:val="0"/>
              <w:marBottom w:val="0"/>
              <w:divBdr>
                <w:top w:val="none" w:sz="0" w:space="0" w:color="auto"/>
                <w:left w:val="none" w:sz="0" w:space="0" w:color="auto"/>
                <w:bottom w:val="none" w:sz="0" w:space="0" w:color="auto"/>
                <w:right w:val="none" w:sz="0" w:space="0" w:color="auto"/>
              </w:divBdr>
            </w:div>
            <w:div w:id="166134004">
              <w:marLeft w:val="0"/>
              <w:marRight w:val="0"/>
              <w:marTop w:val="0"/>
              <w:marBottom w:val="0"/>
              <w:divBdr>
                <w:top w:val="none" w:sz="0" w:space="0" w:color="auto"/>
                <w:left w:val="none" w:sz="0" w:space="0" w:color="auto"/>
                <w:bottom w:val="none" w:sz="0" w:space="0" w:color="auto"/>
                <w:right w:val="none" w:sz="0" w:space="0" w:color="auto"/>
              </w:divBdr>
            </w:div>
          </w:divsChild>
        </w:div>
        <w:div w:id="1604916539">
          <w:marLeft w:val="0"/>
          <w:marRight w:val="0"/>
          <w:marTop w:val="0"/>
          <w:marBottom w:val="0"/>
          <w:divBdr>
            <w:top w:val="none" w:sz="0" w:space="0" w:color="auto"/>
            <w:left w:val="none" w:sz="0" w:space="0" w:color="auto"/>
            <w:bottom w:val="none" w:sz="0" w:space="0" w:color="auto"/>
            <w:right w:val="none" w:sz="0" w:space="0" w:color="auto"/>
          </w:divBdr>
          <w:divsChild>
            <w:div w:id="910961904">
              <w:marLeft w:val="0"/>
              <w:marRight w:val="0"/>
              <w:marTop w:val="0"/>
              <w:marBottom w:val="0"/>
              <w:divBdr>
                <w:top w:val="none" w:sz="0" w:space="0" w:color="auto"/>
                <w:left w:val="none" w:sz="0" w:space="0" w:color="auto"/>
                <w:bottom w:val="none" w:sz="0" w:space="0" w:color="auto"/>
                <w:right w:val="none" w:sz="0" w:space="0" w:color="auto"/>
              </w:divBdr>
            </w:div>
            <w:div w:id="2124836871">
              <w:marLeft w:val="0"/>
              <w:marRight w:val="0"/>
              <w:marTop w:val="0"/>
              <w:marBottom w:val="0"/>
              <w:divBdr>
                <w:top w:val="none" w:sz="0" w:space="0" w:color="auto"/>
                <w:left w:val="none" w:sz="0" w:space="0" w:color="auto"/>
                <w:bottom w:val="none" w:sz="0" w:space="0" w:color="auto"/>
                <w:right w:val="none" w:sz="0" w:space="0" w:color="auto"/>
              </w:divBdr>
            </w:div>
          </w:divsChild>
        </w:div>
        <w:div w:id="1062362628">
          <w:marLeft w:val="0"/>
          <w:marRight w:val="0"/>
          <w:marTop w:val="0"/>
          <w:marBottom w:val="0"/>
          <w:divBdr>
            <w:top w:val="none" w:sz="0" w:space="0" w:color="auto"/>
            <w:left w:val="none" w:sz="0" w:space="0" w:color="auto"/>
            <w:bottom w:val="none" w:sz="0" w:space="0" w:color="auto"/>
            <w:right w:val="none" w:sz="0" w:space="0" w:color="auto"/>
          </w:divBdr>
          <w:divsChild>
            <w:div w:id="212888849">
              <w:marLeft w:val="0"/>
              <w:marRight w:val="0"/>
              <w:marTop w:val="0"/>
              <w:marBottom w:val="0"/>
              <w:divBdr>
                <w:top w:val="none" w:sz="0" w:space="0" w:color="auto"/>
                <w:left w:val="none" w:sz="0" w:space="0" w:color="auto"/>
                <w:bottom w:val="none" w:sz="0" w:space="0" w:color="auto"/>
                <w:right w:val="none" w:sz="0" w:space="0" w:color="auto"/>
              </w:divBdr>
            </w:div>
          </w:divsChild>
        </w:div>
        <w:div w:id="898635425">
          <w:marLeft w:val="0"/>
          <w:marRight w:val="0"/>
          <w:marTop w:val="0"/>
          <w:marBottom w:val="0"/>
          <w:divBdr>
            <w:top w:val="none" w:sz="0" w:space="0" w:color="auto"/>
            <w:left w:val="none" w:sz="0" w:space="0" w:color="auto"/>
            <w:bottom w:val="none" w:sz="0" w:space="0" w:color="auto"/>
            <w:right w:val="none" w:sz="0" w:space="0" w:color="auto"/>
          </w:divBdr>
          <w:divsChild>
            <w:div w:id="1467549919">
              <w:marLeft w:val="0"/>
              <w:marRight w:val="0"/>
              <w:marTop w:val="0"/>
              <w:marBottom w:val="0"/>
              <w:divBdr>
                <w:top w:val="none" w:sz="0" w:space="0" w:color="auto"/>
                <w:left w:val="none" w:sz="0" w:space="0" w:color="auto"/>
                <w:bottom w:val="none" w:sz="0" w:space="0" w:color="auto"/>
                <w:right w:val="none" w:sz="0" w:space="0" w:color="auto"/>
              </w:divBdr>
            </w:div>
            <w:div w:id="1468008236">
              <w:marLeft w:val="0"/>
              <w:marRight w:val="0"/>
              <w:marTop w:val="0"/>
              <w:marBottom w:val="0"/>
              <w:divBdr>
                <w:top w:val="none" w:sz="0" w:space="0" w:color="auto"/>
                <w:left w:val="none" w:sz="0" w:space="0" w:color="auto"/>
                <w:bottom w:val="none" w:sz="0" w:space="0" w:color="auto"/>
                <w:right w:val="none" w:sz="0" w:space="0" w:color="auto"/>
              </w:divBdr>
            </w:div>
          </w:divsChild>
        </w:div>
        <w:div w:id="621806192">
          <w:marLeft w:val="0"/>
          <w:marRight w:val="0"/>
          <w:marTop w:val="0"/>
          <w:marBottom w:val="0"/>
          <w:divBdr>
            <w:top w:val="none" w:sz="0" w:space="0" w:color="auto"/>
            <w:left w:val="none" w:sz="0" w:space="0" w:color="auto"/>
            <w:bottom w:val="none" w:sz="0" w:space="0" w:color="auto"/>
            <w:right w:val="none" w:sz="0" w:space="0" w:color="auto"/>
          </w:divBdr>
          <w:divsChild>
            <w:div w:id="772357802">
              <w:marLeft w:val="0"/>
              <w:marRight w:val="0"/>
              <w:marTop w:val="0"/>
              <w:marBottom w:val="0"/>
              <w:divBdr>
                <w:top w:val="none" w:sz="0" w:space="0" w:color="auto"/>
                <w:left w:val="none" w:sz="0" w:space="0" w:color="auto"/>
                <w:bottom w:val="none" w:sz="0" w:space="0" w:color="auto"/>
                <w:right w:val="none" w:sz="0" w:space="0" w:color="auto"/>
              </w:divBdr>
            </w:div>
            <w:div w:id="210920049">
              <w:marLeft w:val="0"/>
              <w:marRight w:val="0"/>
              <w:marTop w:val="0"/>
              <w:marBottom w:val="0"/>
              <w:divBdr>
                <w:top w:val="none" w:sz="0" w:space="0" w:color="auto"/>
                <w:left w:val="none" w:sz="0" w:space="0" w:color="auto"/>
                <w:bottom w:val="none" w:sz="0" w:space="0" w:color="auto"/>
                <w:right w:val="none" w:sz="0" w:space="0" w:color="auto"/>
              </w:divBdr>
            </w:div>
          </w:divsChild>
        </w:div>
        <w:div w:id="1277717293">
          <w:marLeft w:val="0"/>
          <w:marRight w:val="0"/>
          <w:marTop w:val="0"/>
          <w:marBottom w:val="0"/>
          <w:divBdr>
            <w:top w:val="none" w:sz="0" w:space="0" w:color="auto"/>
            <w:left w:val="none" w:sz="0" w:space="0" w:color="auto"/>
            <w:bottom w:val="none" w:sz="0" w:space="0" w:color="auto"/>
            <w:right w:val="none" w:sz="0" w:space="0" w:color="auto"/>
          </w:divBdr>
          <w:divsChild>
            <w:div w:id="271978259">
              <w:marLeft w:val="0"/>
              <w:marRight w:val="0"/>
              <w:marTop w:val="0"/>
              <w:marBottom w:val="0"/>
              <w:divBdr>
                <w:top w:val="none" w:sz="0" w:space="0" w:color="auto"/>
                <w:left w:val="none" w:sz="0" w:space="0" w:color="auto"/>
                <w:bottom w:val="none" w:sz="0" w:space="0" w:color="auto"/>
                <w:right w:val="none" w:sz="0" w:space="0" w:color="auto"/>
              </w:divBdr>
            </w:div>
          </w:divsChild>
        </w:div>
        <w:div w:id="1369915505">
          <w:marLeft w:val="0"/>
          <w:marRight w:val="0"/>
          <w:marTop w:val="0"/>
          <w:marBottom w:val="0"/>
          <w:divBdr>
            <w:top w:val="none" w:sz="0" w:space="0" w:color="auto"/>
            <w:left w:val="none" w:sz="0" w:space="0" w:color="auto"/>
            <w:bottom w:val="none" w:sz="0" w:space="0" w:color="auto"/>
            <w:right w:val="none" w:sz="0" w:space="0" w:color="auto"/>
          </w:divBdr>
          <w:divsChild>
            <w:div w:id="965161639">
              <w:marLeft w:val="0"/>
              <w:marRight w:val="0"/>
              <w:marTop w:val="0"/>
              <w:marBottom w:val="0"/>
              <w:divBdr>
                <w:top w:val="none" w:sz="0" w:space="0" w:color="auto"/>
                <w:left w:val="none" w:sz="0" w:space="0" w:color="auto"/>
                <w:bottom w:val="none" w:sz="0" w:space="0" w:color="auto"/>
                <w:right w:val="none" w:sz="0" w:space="0" w:color="auto"/>
              </w:divBdr>
            </w:div>
            <w:div w:id="1444567789">
              <w:marLeft w:val="0"/>
              <w:marRight w:val="0"/>
              <w:marTop w:val="0"/>
              <w:marBottom w:val="0"/>
              <w:divBdr>
                <w:top w:val="none" w:sz="0" w:space="0" w:color="auto"/>
                <w:left w:val="none" w:sz="0" w:space="0" w:color="auto"/>
                <w:bottom w:val="none" w:sz="0" w:space="0" w:color="auto"/>
                <w:right w:val="none" w:sz="0" w:space="0" w:color="auto"/>
              </w:divBdr>
            </w:div>
          </w:divsChild>
        </w:div>
        <w:div w:id="1285695933">
          <w:marLeft w:val="0"/>
          <w:marRight w:val="0"/>
          <w:marTop w:val="0"/>
          <w:marBottom w:val="0"/>
          <w:divBdr>
            <w:top w:val="none" w:sz="0" w:space="0" w:color="auto"/>
            <w:left w:val="none" w:sz="0" w:space="0" w:color="auto"/>
            <w:bottom w:val="none" w:sz="0" w:space="0" w:color="auto"/>
            <w:right w:val="none" w:sz="0" w:space="0" w:color="auto"/>
          </w:divBdr>
          <w:divsChild>
            <w:div w:id="1145004975">
              <w:marLeft w:val="0"/>
              <w:marRight w:val="0"/>
              <w:marTop w:val="0"/>
              <w:marBottom w:val="0"/>
              <w:divBdr>
                <w:top w:val="none" w:sz="0" w:space="0" w:color="auto"/>
                <w:left w:val="none" w:sz="0" w:space="0" w:color="auto"/>
                <w:bottom w:val="none" w:sz="0" w:space="0" w:color="auto"/>
                <w:right w:val="none" w:sz="0" w:space="0" w:color="auto"/>
              </w:divBdr>
            </w:div>
            <w:div w:id="1363089085">
              <w:marLeft w:val="0"/>
              <w:marRight w:val="0"/>
              <w:marTop w:val="0"/>
              <w:marBottom w:val="0"/>
              <w:divBdr>
                <w:top w:val="none" w:sz="0" w:space="0" w:color="auto"/>
                <w:left w:val="none" w:sz="0" w:space="0" w:color="auto"/>
                <w:bottom w:val="none" w:sz="0" w:space="0" w:color="auto"/>
                <w:right w:val="none" w:sz="0" w:space="0" w:color="auto"/>
              </w:divBdr>
            </w:div>
          </w:divsChild>
        </w:div>
        <w:div w:id="203718460">
          <w:marLeft w:val="0"/>
          <w:marRight w:val="0"/>
          <w:marTop w:val="0"/>
          <w:marBottom w:val="0"/>
          <w:divBdr>
            <w:top w:val="none" w:sz="0" w:space="0" w:color="auto"/>
            <w:left w:val="none" w:sz="0" w:space="0" w:color="auto"/>
            <w:bottom w:val="none" w:sz="0" w:space="0" w:color="auto"/>
            <w:right w:val="none" w:sz="0" w:space="0" w:color="auto"/>
          </w:divBdr>
          <w:divsChild>
            <w:div w:id="1409765229">
              <w:marLeft w:val="0"/>
              <w:marRight w:val="0"/>
              <w:marTop w:val="0"/>
              <w:marBottom w:val="0"/>
              <w:divBdr>
                <w:top w:val="none" w:sz="0" w:space="0" w:color="auto"/>
                <w:left w:val="none" w:sz="0" w:space="0" w:color="auto"/>
                <w:bottom w:val="none" w:sz="0" w:space="0" w:color="auto"/>
                <w:right w:val="none" w:sz="0" w:space="0" w:color="auto"/>
              </w:divBdr>
            </w:div>
            <w:div w:id="897546125">
              <w:marLeft w:val="0"/>
              <w:marRight w:val="0"/>
              <w:marTop w:val="0"/>
              <w:marBottom w:val="0"/>
              <w:divBdr>
                <w:top w:val="none" w:sz="0" w:space="0" w:color="auto"/>
                <w:left w:val="none" w:sz="0" w:space="0" w:color="auto"/>
                <w:bottom w:val="none" w:sz="0" w:space="0" w:color="auto"/>
                <w:right w:val="none" w:sz="0" w:space="0" w:color="auto"/>
              </w:divBdr>
            </w:div>
          </w:divsChild>
        </w:div>
        <w:div w:id="225185767">
          <w:marLeft w:val="0"/>
          <w:marRight w:val="0"/>
          <w:marTop w:val="0"/>
          <w:marBottom w:val="0"/>
          <w:divBdr>
            <w:top w:val="none" w:sz="0" w:space="0" w:color="auto"/>
            <w:left w:val="none" w:sz="0" w:space="0" w:color="auto"/>
            <w:bottom w:val="none" w:sz="0" w:space="0" w:color="auto"/>
            <w:right w:val="none" w:sz="0" w:space="0" w:color="auto"/>
          </w:divBdr>
          <w:divsChild>
            <w:div w:id="1256357454">
              <w:marLeft w:val="0"/>
              <w:marRight w:val="0"/>
              <w:marTop w:val="0"/>
              <w:marBottom w:val="0"/>
              <w:divBdr>
                <w:top w:val="none" w:sz="0" w:space="0" w:color="auto"/>
                <w:left w:val="none" w:sz="0" w:space="0" w:color="auto"/>
                <w:bottom w:val="none" w:sz="0" w:space="0" w:color="auto"/>
                <w:right w:val="none" w:sz="0" w:space="0" w:color="auto"/>
              </w:divBdr>
            </w:div>
            <w:div w:id="807091501">
              <w:marLeft w:val="0"/>
              <w:marRight w:val="0"/>
              <w:marTop w:val="0"/>
              <w:marBottom w:val="0"/>
              <w:divBdr>
                <w:top w:val="none" w:sz="0" w:space="0" w:color="auto"/>
                <w:left w:val="none" w:sz="0" w:space="0" w:color="auto"/>
                <w:bottom w:val="none" w:sz="0" w:space="0" w:color="auto"/>
                <w:right w:val="none" w:sz="0" w:space="0" w:color="auto"/>
              </w:divBdr>
            </w:div>
          </w:divsChild>
        </w:div>
        <w:div w:id="743143851">
          <w:marLeft w:val="0"/>
          <w:marRight w:val="0"/>
          <w:marTop w:val="0"/>
          <w:marBottom w:val="0"/>
          <w:divBdr>
            <w:top w:val="none" w:sz="0" w:space="0" w:color="auto"/>
            <w:left w:val="none" w:sz="0" w:space="0" w:color="auto"/>
            <w:bottom w:val="none" w:sz="0" w:space="0" w:color="auto"/>
            <w:right w:val="none" w:sz="0" w:space="0" w:color="auto"/>
          </w:divBdr>
          <w:divsChild>
            <w:div w:id="358898542">
              <w:marLeft w:val="0"/>
              <w:marRight w:val="0"/>
              <w:marTop w:val="0"/>
              <w:marBottom w:val="0"/>
              <w:divBdr>
                <w:top w:val="none" w:sz="0" w:space="0" w:color="auto"/>
                <w:left w:val="none" w:sz="0" w:space="0" w:color="auto"/>
                <w:bottom w:val="none" w:sz="0" w:space="0" w:color="auto"/>
                <w:right w:val="none" w:sz="0" w:space="0" w:color="auto"/>
              </w:divBdr>
            </w:div>
          </w:divsChild>
        </w:div>
        <w:div w:id="1654526946">
          <w:marLeft w:val="0"/>
          <w:marRight w:val="0"/>
          <w:marTop w:val="0"/>
          <w:marBottom w:val="0"/>
          <w:divBdr>
            <w:top w:val="none" w:sz="0" w:space="0" w:color="auto"/>
            <w:left w:val="none" w:sz="0" w:space="0" w:color="auto"/>
            <w:bottom w:val="none" w:sz="0" w:space="0" w:color="auto"/>
            <w:right w:val="none" w:sz="0" w:space="0" w:color="auto"/>
          </w:divBdr>
          <w:divsChild>
            <w:div w:id="908610208">
              <w:marLeft w:val="0"/>
              <w:marRight w:val="0"/>
              <w:marTop w:val="0"/>
              <w:marBottom w:val="0"/>
              <w:divBdr>
                <w:top w:val="none" w:sz="0" w:space="0" w:color="auto"/>
                <w:left w:val="none" w:sz="0" w:space="0" w:color="auto"/>
                <w:bottom w:val="none" w:sz="0" w:space="0" w:color="auto"/>
                <w:right w:val="none" w:sz="0" w:space="0" w:color="auto"/>
              </w:divBdr>
            </w:div>
            <w:div w:id="1939093504">
              <w:marLeft w:val="0"/>
              <w:marRight w:val="0"/>
              <w:marTop w:val="0"/>
              <w:marBottom w:val="0"/>
              <w:divBdr>
                <w:top w:val="none" w:sz="0" w:space="0" w:color="auto"/>
                <w:left w:val="none" w:sz="0" w:space="0" w:color="auto"/>
                <w:bottom w:val="none" w:sz="0" w:space="0" w:color="auto"/>
                <w:right w:val="none" w:sz="0" w:space="0" w:color="auto"/>
              </w:divBdr>
            </w:div>
          </w:divsChild>
        </w:div>
        <w:div w:id="2035225318">
          <w:marLeft w:val="0"/>
          <w:marRight w:val="0"/>
          <w:marTop w:val="0"/>
          <w:marBottom w:val="0"/>
          <w:divBdr>
            <w:top w:val="none" w:sz="0" w:space="0" w:color="auto"/>
            <w:left w:val="none" w:sz="0" w:space="0" w:color="auto"/>
            <w:bottom w:val="none" w:sz="0" w:space="0" w:color="auto"/>
            <w:right w:val="none" w:sz="0" w:space="0" w:color="auto"/>
          </w:divBdr>
          <w:divsChild>
            <w:div w:id="1227692515">
              <w:marLeft w:val="0"/>
              <w:marRight w:val="0"/>
              <w:marTop w:val="0"/>
              <w:marBottom w:val="0"/>
              <w:divBdr>
                <w:top w:val="none" w:sz="0" w:space="0" w:color="auto"/>
                <w:left w:val="none" w:sz="0" w:space="0" w:color="auto"/>
                <w:bottom w:val="none" w:sz="0" w:space="0" w:color="auto"/>
                <w:right w:val="none" w:sz="0" w:space="0" w:color="auto"/>
              </w:divBdr>
            </w:div>
            <w:div w:id="714279656">
              <w:marLeft w:val="0"/>
              <w:marRight w:val="0"/>
              <w:marTop w:val="0"/>
              <w:marBottom w:val="0"/>
              <w:divBdr>
                <w:top w:val="none" w:sz="0" w:space="0" w:color="auto"/>
                <w:left w:val="none" w:sz="0" w:space="0" w:color="auto"/>
                <w:bottom w:val="none" w:sz="0" w:space="0" w:color="auto"/>
                <w:right w:val="none" w:sz="0" w:space="0" w:color="auto"/>
              </w:divBdr>
            </w:div>
          </w:divsChild>
        </w:div>
        <w:div w:id="414742148">
          <w:marLeft w:val="0"/>
          <w:marRight w:val="0"/>
          <w:marTop w:val="0"/>
          <w:marBottom w:val="0"/>
          <w:divBdr>
            <w:top w:val="none" w:sz="0" w:space="0" w:color="auto"/>
            <w:left w:val="none" w:sz="0" w:space="0" w:color="auto"/>
            <w:bottom w:val="none" w:sz="0" w:space="0" w:color="auto"/>
            <w:right w:val="none" w:sz="0" w:space="0" w:color="auto"/>
          </w:divBdr>
          <w:divsChild>
            <w:div w:id="364715027">
              <w:marLeft w:val="0"/>
              <w:marRight w:val="0"/>
              <w:marTop w:val="0"/>
              <w:marBottom w:val="0"/>
              <w:divBdr>
                <w:top w:val="none" w:sz="0" w:space="0" w:color="auto"/>
                <w:left w:val="none" w:sz="0" w:space="0" w:color="auto"/>
                <w:bottom w:val="none" w:sz="0" w:space="0" w:color="auto"/>
                <w:right w:val="none" w:sz="0" w:space="0" w:color="auto"/>
              </w:divBdr>
            </w:div>
          </w:divsChild>
        </w:div>
        <w:div w:id="45498303">
          <w:marLeft w:val="0"/>
          <w:marRight w:val="0"/>
          <w:marTop w:val="0"/>
          <w:marBottom w:val="0"/>
          <w:divBdr>
            <w:top w:val="none" w:sz="0" w:space="0" w:color="auto"/>
            <w:left w:val="none" w:sz="0" w:space="0" w:color="auto"/>
            <w:bottom w:val="none" w:sz="0" w:space="0" w:color="auto"/>
            <w:right w:val="none" w:sz="0" w:space="0" w:color="auto"/>
          </w:divBdr>
          <w:divsChild>
            <w:div w:id="1514224204">
              <w:marLeft w:val="0"/>
              <w:marRight w:val="0"/>
              <w:marTop w:val="0"/>
              <w:marBottom w:val="0"/>
              <w:divBdr>
                <w:top w:val="none" w:sz="0" w:space="0" w:color="auto"/>
                <w:left w:val="none" w:sz="0" w:space="0" w:color="auto"/>
                <w:bottom w:val="none" w:sz="0" w:space="0" w:color="auto"/>
                <w:right w:val="none" w:sz="0" w:space="0" w:color="auto"/>
              </w:divBdr>
            </w:div>
          </w:divsChild>
        </w:div>
        <w:div w:id="30496271">
          <w:marLeft w:val="0"/>
          <w:marRight w:val="0"/>
          <w:marTop w:val="0"/>
          <w:marBottom w:val="0"/>
          <w:divBdr>
            <w:top w:val="none" w:sz="0" w:space="0" w:color="auto"/>
            <w:left w:val="none" w:sz="0" w:space="0" w:color="auto"/>
            <w:bottom w:val="none" w:sz="0" w:space="0" w:color="auto"/>
            <w:right w:val="none" w:sz="0" w:space="0" w:color="auto"/>
          </w:divBdr>
          <w:divsChild>
            <w:div w:id="250311622">
              <w:marLeft w:val="0"/>
              <w:marRight w:val="0"/>
              <w:marTop w:val="0"/>
              <w:marBottom w:val="0"/>
              <w:divBdr>
                <w:top w:val="none" w:sz="0" w:space="0" w:color="auto"/>
                <w:left w:val="none" w:sz="0" w:space="0" w:color="auto"/>
                <w:bottom w:val="none" w:sz="0" w:space="0" w:color="auto"/>
                <w:right w:val="none" w:sz="0" w:space="0" w:color="auto"/>
              </w:divBdr>
            </w:div>
            <w:div w:id="615253950">
              <w:marLeft w:val="0"/>
              <w:marRight w:val="0"/>
              <w:marTop w:val="0"/>
              <w:marBottom w:val="0"/>
              <w:divBdr>
                <w:top w:val="none" w:sz="0" w:space="0" w:color="auto"/>
                <w:left w:val="none" w:sz="0" w:space="0" w:color="auto"/>
                <w:bottom w:val="none" w:sz="0" w:space="0" w:color="auto"/>
                <w:right w:val="none" w:sz="0" w:space="0" w:color="auto"/>
              </w:divBdr>
            </w:div>
          </w:divsChild>
        </w:div>
        <w:div w:id="559486159">
          <w:marLeft w:val="0"/>
          <w:marRight w:val="0"/>
          <w:marTop w:val="0"/>
          <w:marBottom w:val="0"/>
          <w:divBdr>
            <w:top w:val="none" w:sz="0" w:space="0" w:color="auto"/>
            <w:left w:val="none" w:sz="0" w:space="0" w:color="auto"/>
            <w:bottom w:val="none" w:sz="0" w:space="0" w:color="auto"/>
            <w:right w:val="none" w:sz="0" w:space="0" w:color="auto"/>
          </w:divBdr>
          <w:divsChild>
            <w:div w:id="828790540">
              <w:marLeft w:val="0"/>
              <w:marRight w:val="0"/>
              <w:marTop w:val="0"/>
              <w:marBottom w:val="0"/>
              <w:divBdr>
                <w:top w:val="none" w:sz="0" w:space="0" w:color="auto"/>
                <w:left w:val="none" w:sz="0" w:space="0" w:color="auto"/>
                <w:bottom w:val="none" w:sz="0" w:space="0" w:color="auto"/>
                <w:right w:val="none" w:sz="0" w:space="0" w:color="auto"/>
              </w:divBdr>
            </w:div>
            <w:div w:id="121920906">
              <w:marLeft w:val="0"/>
              <w:marRight w:val="0"/>
              <w:marTop w:val="0"/>
              <w:marBottom w:val="0"/>
              <w:divBdr>
                <w:top w:val="none" w:sz="0" w:space="0" w:color="auto"/>
                <w:left w:val="none" w:sz="0" w:space="0" w:color="auto"/>
                <w:bottom w:val="none" w:sz="0" w:space="0" w:color="auto"/>
                <w:right w:val="none" w:sz="0" w:space="0" w:color="auto"/>
              </w:divBdr>
            </w:div>
          </w:divsChild>
        </w:div>
        <w:div w:id="1275094453">
          <w:marLeft w:val="0"/>
          <w:marRight w:val="0"/>
          <w:marTop w:val="0"/>
          <w:marBottom w:val="0"/>
          <w:divBdr>
            <w:top w:val="none" w:sz="0" w:space="0" w:color="auto"/>
            <w:left w:val="none" w:sz="0" w:space="0" w:color="auto"/>
            <w:bottom w:val="none" w:sz="0" w:space="0" w:color="auto"/>
            <w:right w:val="none" w:sz="0" w:space="0" w:color="auto"/>
          </w:divBdr>
          <w:divsChild>
            <w:div w:id="1566182937">
              <w:marLeft w:val="0"/>
              <w:marRight w:val="0"/>
              <w:marTop w:val="0"/>
              <w:marBottom w:val="0"/>
              <w:divBdr>
                <w:top w:val="none" w:sz="0" w:space="0" w:color="auto"/>
                <w:left w:val="none" w:sz="0" w:space="0" w:color="auto"/>
                <w:bottom w:val="none" w:sz="0" w:space="0" w:color="auto"/>
                <w:right w:val="none" w:sz="0" w:space="0" w:color="auto"/>
              </w:divBdr>
            </w:div>
            <w:div w:id="1675449879">
              <w:marLeft w:val="0"/>
              <w:marRight w:val="0"/>
              <w:marTop w:val="0"/>
              <w:marBottom w:val="0"/>
              <w:divBdr>
                <w:top w:val="none" w:sz="0" w:space="0" w:color="auto"/>
                <w:left w:val="none" w:sz="0" w:space="0" w:color="auto"/>
                <w:bottom w:val="none" w:sz="0" w:space="0" w:color="auto"/>
                <w:right w:val="none" w:sz="0" w:space="0" w:color="auto"/>
              </w:divBdr>
            </w:div>
          </w:divsChild>
        </w:div>
        <w:div w:id="1033459462">
          <w:marLeft w:val="0"/>
          <w:marRight w:val="0"/>
          <w:marTop w:val="0"/>
          <w:marBottom w:val="0"/>
          <w:divBdr>
            <w:top w:val="none" w:sz="0" w:space="0" w:color="auto"/>
            <w:left w:val="none" w:sz="0" w:space="0" w:color="auto"/>
            <w:bottom w:val="none" w:sz="0" w:space="0" w:color="auto"/>
            <w:right w:val="none" w:sz="0" w:space="0" w:color="auto"/>
          </w:divBdr>
          <w:divsChild>
            <w:div w:id="87504331">
              <w:marLeft w:val="0"/>
              <w:marRight w:val="0"/>
              <w:marTop w:val="0"/>
              <w:marBottom w:val="0"/>
              <w:divBdr>
                <w:top w:val="none" w:sz="0" w:space="0" w:color="auto"/>
                <w:left w:val="none" w:sz="0" w:space="0" w:color="auto"/>
                <w:bottom w:val="none" w:sz="0" w:space="0" w:color="auto"/>
                <w:right w:val="none" w:sz="0" w:space="0" w:color="auto"/>
              </w:divBdr>
            </w:div>
          </w:divsChild>
        </w:div>
        <w:div w:id="1049261420">
          <w:marLeft w:val="0"/>
          <w:marRight w:val="0"/>
          <w:marTop w:val="0"/>
          <w:marBottom w:val="0"/>
          <w:divBdr>
            <w:top w:val="none" w:sz="0" w:space="0" w:color="auto"/>
            <w:left w:val="none" w:sz="0" w:space="0" w:color="auto"/>
            <w:bottom w:val="none" w:sz="0" w:space="0" w:color="auto"/>
            <w:right w:val="none" w:sz="0" w:space="0" w:color="auto"/>
          </w:divBdr>
          <w:divsChild>
            <w:div w:id="798187826">
              <w:marLeft w:val="0"/>
              <w:marRight w:val="0"/>
              <w:marTop w:val="0"/>
              <w:marBottom w:val="0"/>
              <w:divBdr>
                <w:top w:val="none" w:sz="0" w:space="0" w:color="auto"/>
                <w:left w:val="none" w:sz="0" w:space="0" w:color="auto"/>
                <w:bottom w:val="none" w:sz="0" w:space="0" w:color="auto"/>
                <w:right w:val="none" w:sz="0" w:space="0" w:color="auto"/>
              </w:divBdr>
            </w:div>
            <w:div w:id="1617634275">
              <w:marLeft w:val="0"/>
              <w:marRight w:val="0"/>
              <w:marTop w:val="0"/>
              <w:marBottom w:val="0"/>
              <w:divBdr>
                <w:top w:val="none" w:sz="0" w:space="0" w:color="auto"/>
                <w:left w:val="none" w:sz="0" w:space="0" w:color="auto"/>
                <w:bottom w:val="none" w:sz="0" w:space="0" w:color="auto"/>
                <w:right w:val="none" w:sz="0" w:space="0" w:color="auto"/>
              </w:divBdr>
            </w:div>
          </w:divsChild>
        </w:div>
        <w:div w:id="607615125">
          <w:marLeft w:val="0"/>
          <w:marRight w:val="0"/>
          <w:marTop w:val="0"/>
          <w:marBottom w:val="0"/>
          <w:divBdr>
            <w:top w:val="none" w:sz="0" w:space="0" w:color="auto"/>
            <w:left w:val="none" w:sz="0" w:space="0" w:color="auto"/>
            <w:bottom w:val="none" w:sz="0" w:space="0" w:color="auto"/>
            <w:right w:val="none" w:sz="0" w:space="0" w:color="auto"/>
          </w:divBdr>
          <w:divsChild>
            <w:div w:id="1457215643">
              <w:marLeft w:val="0"/>
              <w:marRight w:val="0"/>
              <w:marTop w:val="0"/>
              <w:marBottom w:val="0"/>
              <w:divBdr>
                <w:top w:val="none" w:sz="0" w:space="0" w:color="auto"/>
                <w:left w:val="none" w:sz="0" w:space="0" w:color="auto"/>
                <w:bottom w:val="none" w:sz="0" w:space="0" w:color="auto"/>
                <w:right w:val="none" w:sz="0" w:space="0" w:color="auto"/>
              </w:divBdr>
            </w:div>
            <w:div w:id="1391538994">
              <w:marLeft w:val="0"/>
              <w:marRight w:val="0"/>
              <w:marTop w:val="0"/>
              <w:marBottom w:val="0"/>
              <w:divBdr>
                <w:top w:val="none" w:sz="0" w:space="0" w:color="auto"/>
                <w:left w:val="none" w:sz="0" w:space="0" w:color="auto"/>
                <w:bottom w:val="none" w:sz="0" w:space="0" w:color="auto"/>
                <w:right w:val="none" w:sz="0" w:space="0" w:color="auto"/>
              </w:divBdr>
            </w:div>
          </w:divsChild>
        </w:div>
        <w:div w:id="1932202743">
          <w:marLeft w:val="0"/>
          <w:marRight w:val="0"/>
          <w:marTop w:val="0"/>
          <w:marBottom w:val="0"/>
          <w:divBdr>
            <w:top w:val="none" w:sz="0" w:space="0" w:color="auto"/>
            <w:left w:val="none" w:sz="0" w:space="0" w:color="auto"/>
            <w:bottom w:val="none" w:sz="0" w:space="0" w:color="auto"/>
            <w:right w:val="none" w:sz="0" w:space="0" w:color="auto"/>
          </w:divBdr>
          <w:divsChild>
            <w:div w:id="4737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rmorgan/Downloads/Schools%20should%20focus%20on%20building" TargetMode="External"/><Relationship Id="rId18" Type="http://schemas.openxmlformats.org/officeDocument/2006/relationships/hyperlink" Target="https://educationendowmentfoundation.org.uk/projects-and-evaluation/projects/magic-breakfas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phonics" TargetMode="External"/><Relationship Id="rId17" Type="http://schemas.openxmlformats.org/officeDocument/2006/relationships/hyperlink" Target="https://educationendowmentfoundation.org.uk/education-evidence/guidance-reports/sen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oral-language-interventions" TargetMode="External"/><Relationship Id="rId20" Type="http://schemas.openxmlformats.org/officeDocument/2006/relationships/hyperlink" Target="https://www.bera.ac.uk/blog/pastoral-care-a-whole-school-approach-to-creating-the-ethos-of-wellbeing-that-culminates-in-better-engagement-and-improved-academic-achievement-of-learn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website-files.com/5ee28729f7b4a5fa99bef2b3/5ee9f507021911ae35ac6c4d_EBE_GTT_EVIDENCE%20REVIEW_DIGITAL.pdf?utm_referrer=https%3A%2F%2Fwww.greatteaching.com%2F"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individualised-instruction" TargetMode="External"/><Relationship Id="rId23"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hyperlink" Target="https://learningaway.org.uk/wp-content/uploads/Learning-Away-Comparative-Research-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one-to-one-tuition"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9C43FFDED0042A77085C622289315" ma:contentTypeVersion="13" ma:contentTypeDescription="Create a new document." ma:contentTypeScope="" ma:versionID="e81b795740d95677710541a1c8297bc0">
  <xsd:schema xmlns:xsd="http://www.w3.org/2001/XMLSchema" xmlns:xs="http://www.w3.org/2001/XMLSchema" xmlns:p="http://schemas.microsoft.com/office/2006/metadata/properties" xmlns:ns2="fe6d334c-418d-4738-8f06-5cd5012cc609" xmlns:ns3="0e5dc284-c3e4-42bb-9911-6fb3ba23ead2" targetNamespace="http://schemas.microsoft.com/office/2006/metadata/properties" ma:root="true" ma:fieldsID="beb02f715adc8adfd591778eaa2ae05c" ns2:_="" ns3:_="">
    <xsd:import namespace="fe6d334c-418d-4738-8f06-5cd5012cc609"/>
    <xsd:import namespace="0e5dc284-c3e4-42bb-9911-6fb3ba23ea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d334c-418d-4738-8f06-5cd5012cc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52c71c-2620-4c23-ae0c-7265dea770b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5dc284-c3e4-42bb-9911-6fb3ba23ea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2c7bb40-5f1d-4c9f-92bb-3080b8bcd955}" ma:internalName="TaxCatchAll" ma:showField="CatchAllData" ma:web="0e5dc284-c3e4-42bb-9911-6fb3ba23ea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6d334c-418d-4738-8f06-5cd5012cc609">
      <Terms xmlns="http://schemas.microsoft.com/office/infopath/2007/PartnerControls"/>
    </lcf76f155ced4ddcb4097134ff3c332f>
    <TaxCatchAll xmlns="0e5dc284-c3e4-42bb-9911-6fb3ba23ead2" xsi:nil="true"/>
  </documentManagement>
</p:properties>
</file>

<file path=customXml/itemProps1.xml><?xml version="1.0" encoding="utf-8"?>
<ds:datastoreItem xmlns:ds="http://schemas.openxmlformats.org/officeDocument/2006/customXml" ds:itemID="{B9E6C802-FCBF-4446-86FD-736FD0850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d334c-418d-4738-8f06-5cd5012cc609"/>
    <ds:schemaRef ds:uri="0e5dc284-c3e4-42bb-9911-6fb3ba23e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983E79-C83A-4162-AF33-1C9EADA87D79}">
  <ds:schemaRefs>
    <ds:schemaRef ds:uri="http://schemas.microsoft.com/sharepoint/v3/contenttype/forms"/>
  </ds:schemaRefs>
</ds:datastoreItem>
</file>

<file path=customXml/itemProps3.xml><?xml version="1.0" encoding="utf-8"?>
<ds:datastoreItem xmlns:ds="http://schemas.openxmlformats.org/officeDocument/2006/customXml" ds:itemID="{2E48725B-B6CE-40BE-A50E-4F28CFD2E666}">
  <ds:schemaRefs>
    <ds:schemaRef ds:uri="http://schemas.microsoft.com/office/2006/metadata/properties"/>
    <ds:schemaRef ds:uri="http://schemas.microsoft.com/office/infopath/2007/PartnerControls"/>
    <ds:schemaRef ds:uri="fe6d334c-418d-4738-8f06-5cd5012cc609"/>
    <ds:schemaRef ds:uri="0e5dc284-c3e4-42bb-9911-6fb3ba23ead2"/>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3814</Words>
  <Characters>21741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Lucy Hearnshaw</cp:lastModifiedBy>
  <cp:revision>3</cp:revision>
  <cp:lastPrinted>2024-07-02T12:45:00Z</cp:lastPrinted>
  <dcterms:created xsi:type="dcterms:W3CDTF">2025-03-06T16:18:00Z</dcterms:created>
  <dcterms:modified xsi:type="dcterms:W3CDTF">2025-03-06T16:36:00Z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0x01010053C9C43FFDED0042A77085C622289315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